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0"/>
          <w:sz w:val="20"/>
          <w:szCs w:val="20"/>
        </w:rPr>
      </w:pPr>
      <w:r>
        <w:rPr>
          <w:sz w:val="20"/>
          <w:szCs w:val="20"/>
        </w:rPr>
        <w:t>Załącznik do uchwały nr 338</w:t>
      </w:r>
      <w:bookmarkStart w:id="0" w:name="_GoBack"/>
      <w:bookmarkEnd w:id="0"/>
      <w:r>
        <w:rPr>
          <w:sz w:val="20"/>
          <w:szCs w:val="20"/>
        </w:rPr>
        <w:t>/18/VII</w:t>
      </w:r>
      <w:r/>
    </w:p>
    <w:p>
      <w:pPr>
        <w:pStyle w:val="Normal"/>
        <w:ind w:left="4248" w:firstLine="708"/>
        <w:jc w:val="right"/>
        <w:rPr>
          <w:sz w:val="20"/>
          <w:sz w:val="20"/>
          <w:szCs w:val="20"/>
        </w:rPr>
      </w:pPr>
      <w:r>
        <w:rPr>
          <w:sz w:val="20"/>
          <w:szCs w:val="20"/>
        </w:rPr>
        <w:t>Rady Miasta Puszczykowa</w:t>
      </w:r>
      <w:r/>
    </w:p>
    <w:p>
      <w:pPr>
        <w:pStyle w:val="Normal"/>
        <w:ind w:left="4248" w:firstLine="708"/>
        <w:jc w:val="right"/>
        <w:rPr>
          <w:sz w:val="20"/>
          <w:sz w:val="20"/>
          <w:szCs w:val="20"/>
        </w:rPr>
      </w:pPr>
      <w:r>
        <w:rPr>
          <w:sz w:val="20"/>
          <w:szCs w:val="20"/>
        </w:rPr>
        <w:t>z dnia 28 sierpnia 2018 r.</w:t>
      </w:r>
      <w:r/>
    </w:p>
    <w:p>
      <w:pPr>
        <w:pStyle w:val="Normal"/>
        <w:ind w:left="4248" w:firstLine="708"/>
        <w:rPr>
          <w:sz w:val="22"/>
          <w:sz w:val="22"/>
          <w:szCs w:val="22"/>
          <w:rFonts w:ascii="TimesNewRomanPSMT" w:hAnsi="TimesNewRomanPSMT" w:eastAsia="Times New Roman" w:cs="TimesNewRomanPSMT"/>
          <w:color w:val="00000A"/>
          <w:lang w:val="pl-PL" w:eastAsia="pl-PL" w:bidi="ar-SA"/>
        </w:rPr>
      </w:pPr>
      <w:r>
        <w:rPr>
          <w:rFonts w:eastAsia="Times New Roman" w:cs="TimesNewRomanPSMT" w:ascii="TimesNewRomanPSMT" w:hAnsi="TimesNewRomanPSMT"/>
          <w:sz w:val="22"/>
          <w:szCs w:val="22"/>
          <w:lang w:eastAsia="pl-PL"/>
        </w:rPr>
      </w:r>
      <w:r/>
    </w:p>
    <w:p>
      <w:pPr>
        <w:pStyle w:val="Normal"/>
        <w:ind w:left="4248" w:firstLine="708"/>
        <w:rPr>
          <w:sz w:val="22"/>
          <w:sz w:val="22"/>
          <w:szCs w:val="22"/>
          <w:rFonts w:ascii="TimesNewRomanPSMT" w:hAnsi="TimesNewRomanPSMT" w:eastAsia="Times New Roman" w:cs="TimesNewRomanPSMT"/>
          <w:color w:val="00000A"/>
          <w:lang w:val="pl-PL" w:eastAsia="pl-PL" w:bidi="ar-SA"/>
        </w:rPr>
      </w:pPr>
      <w:r>
        <w:rPr>
          <w:rFonts w:eastAsia="Times New Roman" w:cs="TimesNewRomanPSMT" w:ascii="TimesNewRomanPSMT" w:hAnsi="TimesNewRomanPSMT"/>
          <w:sz w:val="22"/>
          <w:szCs w:val="22"/>
          <w:lang w:eastAsia="pl-PL"/>
        </w:rPr>
      </w:r>
      <w:r/>
    </w:p>
    <w:p>
      <w:pPr>
        <w:pStyle w:val="Normal"/>
        <w:jc w:val="center"/>
        <w:rPr>
          <w:b/>
          <w:b/>
          <w:bCs/>
        </w:rPr>
      </w:pPr>
      <w:r>
        <w:rPr>
          <w:b/>
          <w:bCs/>
        </w:rPr>
        <w:t>Regulamin udzielania dotacji celowych na trwałą likwidację ogrzewania węglowego i zastąpienie go proekologicznymi systemami grzewczymi.</w:t>
      </w:r>
      <w:r/>
    </w:p>
    <w:p>
      <w:pPr>
        <w:pStyle w:val="Normal"/>
        <w:rPr>
          <w:sz w:val="22"/>
          <w:b/>
          <w:sz w:val="22"/>
          <w:b/>
          <w:szCs w:val="22"/>
          <w:bCs/>
          <w:rFonts w:ascii="TimesNewRomanPS-BoldMT" w:hAnsi="TimesNewRomanPS-BoldMT" w:eastAsia="Times New Roman" w:cs="TimesNewRomanPS-BoldMT"/>
          <w:color w:val="00000A"/>
          <w:lang w:val="pl-PL" w:eastAsia="pl-PL" w:bidi="ar-SA"/>
        </w:rPr>
      </w:pPr>
      <w:r>
        <w:rPr>
          <w:rFonts w:eastAsia="Times New Roman" w:cs="TimesNewRomanPS-BoldMT" w:ascii="TimesNewRomanPS-BoldMT" w:hAnsi="TimesNewRomanPS-BoldMT"/>
          <w:b/>
          <w:bCs/>
          <w:sz w:val="22"/>
          <w:szCs w:val="22"/>
          <w:lang w:eastAsia="pl-PL"/>
        </w:rPr>
      </w:r>
      <w:r/>
    </w:p>
    <w:p>
      <w:pPr>
        <w:pStyle w:val="Normal"/>
        <w:rPr>
          <w:sz w:val="22"/>
          <w:b/>
          <w:sz w:val="22"/>
          <w:b/>
          <w:szCs w:val="22"/>
          <w:bCs/>
          <w:rFonts w:ascii="TimesNewRomanPS-BoldMT" w:hAnsi="TimesNewRomanPS-BoldMT" w:eastAsia="Times New Roman" w:cs="TimesNewRomanPS-BoldMT"/>
          <w:color w:val="00000A"/>
          <w:lang w:val="pl-PL" w:eastAsia="pl-PL" w:bidi="ar-SA"/>
        </w:rPr>
      </w:pPr>
      <w:r>
        <w:rPr>
          <w:rFonts w:eastAsia="Times New Roman" w:cs="TimesNewRomanPS-BoldMT" w:ascii="TimesNewRomanPS-BoldMT" w:hAnsi="TimesNewRomanPS-BoldMT"/>
          <w:b/>
          <w:bCs/>
          <w:sz w:val="22"/>
          <w:szCs w:val="22"/>
          <w:lang w:eastAsia="pl-PL"/>
        </w:rPr>
      </w:r>
      <w:r/>
    </w:p>
    <w:p>
      <w:pPr>
        <w:pStyle w:val="Normal"/>
        <w:jc w:val="center"/>
        <w:rPr>
          <w:b/>
          <w:b/>
          <w:bCs/>
        </w:rPr>
      </w:pPr>
      <w:r>
        <w:rPr>
          <w:b/>
          <w:bCs/>
        </w:rPr>
        <w:t>Rozdział 1.</w:t>
      </w:r>
      <w:r/>
    </w:p>
    <w:p>
      <w:pPr>
        <w:pStyle w:val="Normal"/>
        <w:jc w:val="center"/>
        <w:rPr>
          <w:b/>
          <w:b/>
          <w:bCs/>
        </w:rPr>
      </w:pPr>
      <w:r>
        <w:rPr>
          <w:b/>
          <w:bCs/>
        </w:rPr>
        <w:t>Postanowienia ogólne</w:t>
      </w:r>
      <w:r/>
    </w:p>
    <w:p>
      <w:pPr>
        <w:pStyle w:val="Normal"/>
        <w:jc w:val="both"/>
        <w:rPr>
          <w:sz w:val="24"/>
          <w:b/>
          <w:sz w:val="24"/>
          <w:b/>
          <w:szCs w:val="24"/>
          <w:bCs/>
          <w:rFonts w:ascii="Times New Roman" w:hAnsi="Times New Roman" w:eastAsia="Times New Roman" w:cs="Times New Roman"/>
          <w:color w:val="00000A"/>
          <w:lang w:val="pl-PL" w:eastAsia="pl-PL" w:bidi="ar-SA"/>
        </w:rPr>
      </w:pPr>
      <w:r>
        <w:rPr>
          <w:rFonts w:eastAsia="Times New Roman" w:cs="Times New Roman"/>
          <w:b/>
          <w:bCs/>
          <w:sz w:val="24"/>
          <w:szCs w:val="24"/>
          <w:lang w:eastAsia="pl-PL"/>
        </w:rPr>
      </w:r>
      <w:r/>
    </w:p>
    <w:p>
      <w:pPr>
        <w:pStyle w:val="ListParagraph"/>
        <w:numPr>
          <w:ilvl w:val="0"/>
          <w:numId w:val="11"/>
        </w:numPr>
        <w:tabs>
          <w:tab w:val="left" w:pos="1077" w:leader="none"/>
        </w:tabs>
        <w:spacing w:before="120" w:after="60"/>
        <w:contextualSpacing/>
        <w:jc w:val="both"/>
        <w:rPr>
          <w:rFonts w:eastAsia="SimSun" w:cs="Mangal"/>
          <w:lang w:eastAsia="hi-IN" w:bidi="hi-IN"/>
        </w:rPr>
      </w:pPr>
      <w:r>
        <w:rPr>
          <w:rFonts w:eastAsia="SimSun" w:cs="Mangal"/>
          <w:lang w:eastAsia="hi-IN" w:bidi="hi-IN"/>
        </w:rPr>
        <w:t> </w:t>
      </w:r>
      <w:r>
        <w:rPr>
          <w:rFonts w:eastAsia="SimSun" w:cs="Mangal"/>
          <w:lang w:eastAsia="hi-IN" w:bidi="hi-IN"/>
        </w:rPr>
        <w:t>Ilekroć w przepisach niniejszego Regulaminu jest mowa o:</w:t>
      </w:r>
      <w:r/>
    </w:p>
    <w:p>
      <w:pPr>
        <w:pStyle w:val="Normal"/>
        <w:numPr>
          <w:ilvl w:val="0"/>
          <w:numId w:val="7"/>
        </w:numPr>
        <w:suppressAutoHyphens w:val="true"/>
        <w:jc w:val="both"/>
        <w:rPr>
          <w:rFonts w:eastAsia="SimSun" w:cs="Mangal"/>
          <w:lang w:eastAsia="hi-IN" w:bidi="hi-IN"/>
        </w:rPr>
      </w:pPr>
      <w:r>
        <w:rPr>
          <w:rFonts w:eastAsia="SimSun" w:cs="Mangal"/>
          <w:lang w:eastAsia="hi-IN" w:bidi="hi-IN"/>
        </w:rPr>
        <w:t>Mieście - należy przez to rozumieć Miasto Puszczykowo;</w:t>
      </w:r>
      <w:r/>
    </w:p>
    <w:p>
      <w:pPr>
        <w:pStyle w:val="Normal"/>
        <w:numPr>
          <w:ilvl w:val="0"/>
          <w:numId w:val="7"/>
        </w:numPr>
        <w:suppressAutoHyphens w:val="true"/>
        <w:jc w:val="both"/>
        <w:rPr>
          <w:rFonts w:eastAsia="SimSun" w:cs="Mangal"/>
          <w:lang w:eastAsia="hi-IN" w:bidi="hi-IN"/>
        </w:rPr>
      </w:pPr>
      <w:r>
        <w:rPr>
          <w:rFonts w:eastAsia="SimSun" w:cs="Mangal"/>
          <w:lang w:eastAsia="hi-IN" w:bidi="hi-IN"/>
        </w:rPr>
        <w:t xml:space="preserve">Urzędzie Miejskim - należy przez to rozumieć Urząd Miejski w Puszczykowie; </w:t>
      </w:r>
      <w:r/>
    </w:p>
    <w:p>
      <w:pPr>
        <w:pStyle w:val="Normal"/>
        <w:numPr>
          <w:ilvl w:val="0"/>
          <w:numId w:val="7"/>
        </w:numPr>
        <w:suppressAutoHyphens w:val="true"/>
        <w:jc w:val="both"/>
        <w:rPr>
          <w:rFonts w:eastAsia="SimSun" w:cs="Mangal"/>
          <w:lang w:eastAsia="hi-IN" w:bidi="hi-IN"/>
        </w:rPr>
      </w:pPr>
      <w:r>
        <w:rPr>
          <w:rFonts w:eastAsia="SimSun" w:cs="Mangal"/>
          <w:lang w:eastAsia="hi-IN" w:bidi="hi-IN"/>
        </w:rPr>
        <w:t xml:space="preserve">Burmistrzu - należy przez to rozumieć Burmistrza Miasta Puszczykowa; </w:t>
      </w:r>
      <w:r/>
    </w:p>
    <w:p>
      <w:pPr>
        <w:pStyle w:val="Normal"/>
        <w:numPr>
          <w:ilvl w:val="0"/>
          <w:numId w:val="7"/>
        </w:numPr>
        <w:suppressAutoHyphens w:val="true"/>
        <w:jc w:val="both"/>
        <w:rPr>
          <w:bCs/>
          <w:rFonts w:eastAsia="SimSun" w:cs="Mangal"/>
          <w:lang w:eastAsia="hi-IN" w:bidi="hi-IN"/>
        </w:rPr>
      </w:pPr>
      <w:r>
        <w:rPr>
          <w:rFonts w:eastAsia="SimSun" w:cs="Mangal"/>
          <w:bCs/>
          <w:lang w:eastAsia="hi-IN" w:bidi="hi-IN"/>
        </w:rPr>
        <w:t xml:space="preserve">Wnioskodawcy - </w:t>
      </w:r>
      <w:r>
        <w:rPr>
          <w:rFonts w:eastAsia="SimSun" w:cs="Mangal"/>
          <w:lang w:eastAsia="hi-IN" w:bidi="hi-IN"/>
        </w:rPr>
        <w:t xml:space="preserve">należy przez to rozumieć </w:t>
      </w:r>
      <w:r>
        <w:rPr/>
        <w:t>podmiot wymieniony w art. 403 ust. 4 ustawy z dnia 27 kwietnia 2001 r. Prawo ochrony środowiska (Dz. U. z 2018 r. poz. 799 ze zmianami)</w:t>
      </w:r>
      <w:r>
        <w:rPr>
          <w:rFonts w:eastAsia="SimSun" w:cs="Mangal"/>
          <w:lang w:eastAsia="hi-IN" w:bidi="hi-IN"/>
        </w:rPr>
        <w:t>;</w:t>
      </w:r>
      <w:r/>
    </w:p>
    <w:p>
      <w:pPr>
        <w:pStyle w:val="Normal"/>
        <w:numPr>
          <w:ilvl w:val="0"/>
          <w:numId w:val="7"/>
        </w:numPr>
        <w:suppressAutoHyphens w:val="true"/>
        <w:jc w:val="both"/>
      </w:pPr>
      <w:r>
        <w:rPr>
          <w:rFonts w:eastAsia="SimSun" w:cs="Mangal"/>
          <w:lang w:eastAsia="hi-IN" w:bidi="hi-IN"/>
        </w:rPr>
        <w:t xml:space="preserve">beneficjencie - należy przez to rozumieć </w:t>
      </w:r>
      <w:r>
        <w:rPr>
          <w:rStyle w:val="St"/>
        </w:rPr>
        <w:t>wnioskodawcę, któremu została udzielona dotacja;</w:t>
      </w:r>
      <w:r/>
    </w:p>
    <w:p>
      <w:pPr>
        <w:pStyle w:val="Normal"/>
        <w:numPr>
          <w:ilvl w:val="0"/>
          <w:numId w:val="7"/>
        </w:numPr>
        <w:suppressAutoHyphens w:val="true"/>
        <w:jc w:val="both"/>
        <w:rPr>
          <w:rFonts w:eastAsia="SimSun" w:cs="Mangal"/>
          <w:lang w:eastAsia="hi-IN" w:bidi="hi-IN"/>
        </w:rPr>
      </w:pPr>
      <w:r>
        <w:rPr>
          <w:rFonts w:eastAsia="SimSun" w:cs="Mangal"/>
          <w:lang w:eastAsia="hi-IN" w:bidi="hi-IN"/>
        </w:rPr>
        <w:t xml:space="preserve">przedsięwzięciu - należy przez to rozumieć zadanie inwestycyjne związane z ochroną powietrza, o którym mowa w art. 400a ust. 1 pkt 21 ustawy z dnia 27 kwietnia 2001 r. Prawo ochrony środowiska (Dz. U. z </w:t>
      </w:r>
      <w:r>
        <w:rPr/>
        <w:t xml:space="preserve">2018 r. poz. 799 ze zmianami) </w:t>
      </w:r>
      <w:r>
        <w:rPr>
          <w:rFonts w:eastAsia="SimSun" w:cs="Mangal"/>
          <w:lang w:eastAsia="hi-IN" w:bidi="hi-IN"/>
        </w:rPr>
        <w:t>obejmujące trwałą likwidację systemu ogrzewania opartego na paliwie węglowym i jego zamianę na ogrzewanie proekologiczne (kocioł gazowy lub olejowy, elektryczne, pompę ciepła, paliwo stałe);</w:t>
      </w:r>
      <w:r/>
    </w:p>
    <w:p>
      <w:pPr>
        <w:pStyle w:val="Normal"/>
        <w:numPr>
          <w:ilvl w:val="0"/>
          <w:numId w:val="7"/>
        </w:numPr>
        <w:suppressAutoHyphens w:val="true"/>
        <w:jc w:val="both"/>
        <w:rPr>
          <w:rFonts w:eastAsia="SimSun" w:cs="Mangal"/>
          <w:lang w:eastAsia="hi-IN" w:bidi="hi-IN"/>
        </w:rPr>
      </w:pPr>
      <w:r>
        <w:rPr>
          <w:rFonts w:eastAsia="SimSun" w:cs="Mangal"/>
          <w:lang w:eastAsia="hi-IN" w:bidi="hi-IN"/>
        </w:rPr>
        <w:t xml:space="preserve">dotacji - należy przez to rozumieć udzielaną z budżetu Miasta dotację celową w rozumieniu ustawy z dnia 27 sierpnia 2009 r. o finansach publicznych (Dz. U. z 2017 r. poz. </w:t>
      </w:r>
      <w:r>
        <w:rPr/>
        <w:t xml:space="preserve">2077 </w:t>
      </w:r>
      <w:r>
        <w:rPr>
          <w:rFonts w:eastAsia="SimSun" w:cs="Mangal"/>
          <w:lang w:eastAsia="hi-IN" w:bidi="hi-IN"/>
        </w:rPr>
        <w:t xml:space="preserve">ze zmianami), która przeznaczona jest na dofinansowanie realizacji przedsięwzięcia; </w:t>
      </w:r>
      <w:r/>
    </w:p>
    <w:p>
      <w:pPr>
        <w:pStyle w:val="Normal"/>
        <w:numPr>
          <w:ilvl w:val="0"/>
          <w:numId w:val="7"/>
        </w:numPr>
        <w:suppressAutoHyphens w:val="true"/>
        <w:jc w:val="both"/>
        <w:rPr>
          <w:rFonts w:eastAsia="SimSun" w:cs="Mangal"/>
          <w:lang w:eastAsia="hi-IN" w:bidi="hi-IN"/>
        </w:rPr>
      </w:pPr>
      <w:r>
        <w:rPr>
          <w:rFonts w:eastAsia="SimSun" w:cs="Mangal"/>
          <w:lang w:eastAsia="hi-IN" w:bidi="hi-IN"/>
        </w:rPr>
        <w:t>budynku - należy przez to rozumieć jednorodzinny budynek mieszkalny albo lokal mieszkalny na terenie Miasta Puszczykowa</w:t>
      </w:r>
      <w:r>
        <w:rPr/>
        <w:t>, w którym realizowane jest przedsięwzięcie objęte dotacją</w:t>
      </w:r>
      <w:r>
        <w:rPr>
          <w:rFonts w:eastAsia="SimSun" w:cs="Mangal"/>
          <w:lang w:eastAsia="hi-IN" w:bidi="hi-IN"/>
        </w:rPr>
        <w:t>.</w:t>
      </w:r>
      <w:r/>
    </w:p>
    <w:p>
      <w:pPr>
        <w:pStyle w:val="Normal"/>
        <w:spacing w:before="120" w:after="60"/>
        <w:jc w:val="both"/>
        <w:rPr>
          <w:u w:val="single"/>
        </w:rPr>
      </w:pPr>
      <w:r>
        <w:rPr>
          <w:b/>
        </w:rPr>
        <w:t>§ 2</w:t>
      </w:r>
      <w:r>
        <w:rPr/>
        <w:t xml:space="preserve">. 1. Niniejszy Regulamin określa zasady udzielania dotacji z budżetu Miasta Puszczykowa na realizację przedsięwzięć z zakresu ochrony środowiska obejmujących trwałą likwidację systemów ogrzewania opartych na paliwie węglowym i ich zamianę na ogrzewanie proekologiczne (kotły gazowe, olejowe, elektryczne, pompy ciepła, paliwa stałe). </w:t>
      </w:r>
      <w:r/>
    </w:p>
    <w:p>
      <w:pPr>
        <w:pStyle w:val="NormalWeb"/>
        <w:numPr>
          <w:ilvl w:val="0"/>
          <w:numId w:val="1"/>
        </w:numPr>
        <w:tabs>
          <w:tab w:val="left" w:pos="284" w:leader="none"/>
        </w:tabs>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 xml:space="preserve">Warunkiem niezbędnym do uzyskania dotacji jest trwała likwidacja w budynku wszystkich dotychczasowych pieców lub kotłów węglowych. Do uzyskania dofinansowania nie jest konieczna likwidacja pieców objętych opieką konserwatora zabytków oraz posiadających wysokie walory estetyczne pod warunkiem, że piece te nie będą połączone z przewodem kominowym. </w:t>
      </w:r>
      <w:r/>
    </w:p>
    <w:p>
      <w:pPr>
        <w:pStyle w:val="NormalWeb"/>
        <w:numPr>
          <w:ilvl w:val="0"/>
          <w:numId w:val="1"/>
        </w:numPr>
        <w:tabs>
          <w:tab w:val="left" w:pos="284" w:leader="none"/>
        </w:tabs>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W przypadku, jeżeli w budynku zainstalowany jest inny - dodatkowy system grzewczy, warunkiem zakwalifikowania przedsięwzięcia do dotacji jest spełnienie przez wszystkie systemy grzewcze kryteriów ekologicznych określonych w niniejszym Regulaminie.</w:t>
      </w:r>
      <w:r/>
    </w:p>
    <w:p>
      <w:pPr>
        <w:pStyle w:val="NormalWeb"/>
        <w:numPr>
          <w:ilvl w:val="0"/>
          <w:numId w:val="1"/>
        </w:numPr>
        <w:tabs>
          <w:tab w:val="left" w:pos="284" w:leader="none"/>
        </w:tabs>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Dopuszcza się posiadanie w budynku jednego urządzenia grzewczego na drewno typu kominek, dla którego nie wydano odpowiedniego atestu energetyczno-ekologicznego w klasie A lub równoważnej, pod warunkiem, iż urządzenie to nie dostarcza ciepła do systemu centralnego ogrzewania i nie wydziela ciepła poprzez bezpośrednie przenoszenie ciepła lub bezpośrednie przenoszenie ciepła w połączeniu z przenoszeniem ciepła do cieczy lub bezpośrednie przenoszenie ciepła w połączeniu z systemem dystrybucji gorącego powietrza.</w:t>
      </w:r>
      <w:r/>
    </w:p>
    <w:p>
      <w:pPr>
        <w:pStyle w:val="NormalWeb"/>
        <w:numPr>
          <w:ilvl w:val="0"/>
          <w:numId w:val="1"/>
        </w:numPr>
        <w:spacing w:beforeAutospacing="0" w:before="60" w:afterAutospacing="0" w:after="60"/>
        <w:jc w:val="both"/>
        <w:rPr>
          <w:sz w:val="24"/>
          <w:sz w:val="24"/>
          <w:szCs w:val="24"/>
          <w:rFonts w:ascii="Times New Roman" w:hAnsi="Times New Roman" w:eastAsia="Times New Roman" w:cs="Times New Roman"/>
          <w:lang w:eastAsia="pl-PL"/>
        </w:rPr>
      </w:pPr>
      <w:r>
        <w:rPr/>
        <w:t>Ustala się następujące wymagania techniczne dla źródła ciepła i instalacji:</w:t>
      </w:r>
      <w:r/>
    </w:p>
    <w:p>
      <w:pPr>
        <w:pStyle w:val="NormalWeb"/>
        <w:numPr>
          <w:ilvl w:val="0"/>
          <w:numId w:val="2"/>
        </w:numPr>
        <w:spacing w:beforeAutospacing="0" w:before="0" w:afterAutospacing="0" w:after="0"/>
        <w:jc w:val="both"/>
        <w:rPr>
          <w:sz w:val="24"/>
          <w:sz w:val="24"/>
          <w:szCs w:val="24"/>
          <w:rFonts w:ascii="Times New Roman" w:hAnsi="Times New Roman" w:eastAsia="Times New Roman" w:cs="Times New Roman"/>
          <w:lang w:eastAsia="pl-PL"/>
        </w:rPr>
      </w:pPr>
      <w:r>
        <w:rPr/>
        <w:t>dla kotłów opalanych paliwami stałymi (w tym drewno, ekogroszek) -zgodnie  z uchwałą NR XXXIX/941/17 Sejmiku Województwa Wielkopolskiego z dnia 18 grudnia 2017 r. w sprawie wprowadzenia, na obszarze województwa wielkopolskiego, ograniczeń lub zakazów w zakresie eksploatacji instalacji, w których następuje spalanie paliw,</w:t>
      </w:r>
      <w:r/>
    </w:p>
    <w:p>
      <w:pPr>
        <w:pStyle w:val="NormalWeb"/>
        <w:numPr>
          <w:ilvl w:val="0"/>
          <w:numId w:val="2"/>
        </w:numPr>
        <w:spacing w:beforeAutospacing="0" w:before="0" w:afterAutospacing="0" w:after="0"/>
        <w:jc w:val="both"/>
        <w:rPr>
          <w:sz w:val="24"/>
          <w:sz w:val="24"/>
          <w:szCs w:val="24"/>
          <w:rFonts w:ascii="Times New Roman" w:hAnsi="Times New Roman" w:eastAsia="Times New Roman" w:cs="Times New Roman"/>
          <w:lang w:eastAsia="pl-PL"/>
        </w:rPr>
      </w:pPr>
      <w:r>
        <w:rPr/>
        <w:t xml:space="preserve">wszystkie źródła ciepła muszą posiadać certyfikat CE, </w:t>
      </w:r>
      <w:r/>
    </w:p>
    <w:p>
      <w:pPr>
        <w:pStyle w:val="NormalWeb"/>
        <w:numPr>
          <w:ilvl w:val="0"/>
          <w:numId w:val="2"/>
        </w:numPr>
        <w:spacing w:beforeAutospacing="0" w:before="0" w:afterAutospacing="0" w:after="0"/>
        <w:jc w:val="both"/>
        <w:rPr>
          <w:sz w:val="24"/>
          <w:sz w:val="24"/>
          <w:szCs w:val="24"/>
          <w:rFonts w:ascii="Times New Roman" w:hAnsi="Times New Roman" w:eastAsia="Times New Roman" w:cs="Times New Roman"/>
          <w:lang w:eastAsia="pl-PL"/>
        </w:rPr>
      </w:pPr>
      <w:r>
        <w:rPr/>
        <w:t xml:space="preserve">moc nowego źródła ciepła musi być adekwatna do aktualnego zapotrzebowania budynku na ciepło, </w:t>
      </w:r>
      <w:r/>
    </w:p>
    <w:p>
      <w:pPr>
        <w:pStyle w:val="NormalWeb"/>
        <w:numPr>
          <w:ilvl w:val="0"/>
          <w:numId w:val="2"/>
        </w:numPr>
        <w:spacing w:beforeAutospacing="0" w:before="0" w:afterAutospacing="0" w:after="0"/>
        <w:jc w:val="both"/>
        <w:rPr>
          <w:sz w:val="24"/>
          <w:sz w:val="24"/>
          <w:szCs w:val="24"/>
          <w:rFonts w:ascii="Times New Roman" w:hAnsi="Times New Roman" w:eastAsia="Times New Roman" w:cs="Times New Roman"/>
          <w:lang w:eastAsia="pl-PL"/>
        </w:rPr>
      </w:pPr>
      <w:r>
        <w:rPr/>
        <w:t>wszystkie zamontowane urządzenia muszą być fabrycznie nowe,</w:t>
      </w:r>
      <w:r/>
    </w:p>
    <w:p>
      <w:pPr>
        <w:pStyle w:val="NormalWeb"/>
        <w:numPr>
          <w:ilvl w:val="0"/>
          <w:numId w:val="2"/>
        </w:numPr>
        <w:spacing w:beforeAutospacing="0" w:before="0" w:afterAutospacing="0" w:after="0"/>
        <w:jc w:val="both"/>
        <w:rPr>
          <w:sz w:val="24"/>
          <w:sz w:val="24"/>
          <w:szCs w:val="24"/>
          <w:rFonts w:ascii="Times New Roman" w:hAnsi="Times New Roman" w:eastAsia="Times New Roman" w:cs="Times New Roman"/>
          <w:lang w:eastAsia="pl-PL"/>
        </w:rPr>
      </w:pPr>
      <w:r>
        <w:rPr/>
        <w:t>instalacja musi być zamontowana zgodnie z obowiązującymi przepisami prawa, w szczególności ustawą Prawo budowlane, ustawą Prawo energetyczne, polskimi normami oraz zaleceniami producenta.</w:t>
      </w:r>
      <w:r/>
    </w:p>
    <w:p>
      <w:pPr>
        <w:pStyle w:val="Normal"/>
        <w:ind w:firstLine="708"/>
        <w:jc w:val="center"/>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rPr>
          <w:b/>
          <w:b/>
          <w:bCs/>
        </w:rPr>
      </w:pPr>
      <w:r>
        <w:rPr>
          <w:b/>
          <w:bCs/>
        </w:rPr>
        <w:t>Rozdział 2.</w:t>
      </w:r>
      <w:r/>
    </w:p>
    <w:p>
      <w:pPr>
        <w:pStyle w:val="Normal"/>
        <w:jc w:val="center"/>
        <w:rPr>
          <w:b/>
          <w:b/>
          <w:bCs/>
        </w:rPr>
      </w:pPr>
      <w:r>
        <w:rPr>
          <w:b/>
          <w:bCs/>
        </w:rPr>
        <w:t>Ogólne zasady udzielania dotacji i wysokość dofinansowania</w:t>
      </w:r>
      <w:r/>
    </w:p>
    <w:p>
      <w:pPr>
        <w:pStyle w:val="Normal"/>
        <w:jc w:val="both"/>
        <w:rPr>
          <w:sz w:val="24"/>
          <w:b/>
          <w:sz w:val="24"/>
          <w:b/>
          <w:szCs w:val="24"/>
          <w:bCs/>
          <w:rFonts w:ascii="Times New Roman" w:hAnsi="Times New Roman" w:eastAsia="Times New Roman" w:cs="Times New Roman"/>
          <w:color w:val="00000A"/>
          <w:lang w:val="pl-PL" w:eastAsia="pl-PL" w:bidi="ar-SA"/>
        </w:rPr>
      </w:pPr>
      <w:r>
        <w:rPr>
          <w:rFonts w:eastAsia="Times New Roman" w:cs="Times New Roman"/>
          <w:b/>
          <w:bCs/>
          <w:sz w:val="24"/>
          <w:szCs w:val="24"/>
          <w:lang w:eastAsia="pl-PL"/>
        </w:rPr>
      </w:r>
      <w:r/>
    </w:p>
    <w:p>
      <w:pPr>
        <w:pStyle w:val="Normal"/>
        <w:spacing w:before="60" w:after="60"/>
        <w:jc w:val="both"/>
      </w:pPr>
      <w:r>
        <w:rPr>
          <w:b/>
        </w:rPr>
        <w:t>§ 3.</w:t>
      </w:r>
      <w:r>
        <w:rPr/>
        <w:t> 1. Beneficjentami dotacji mogą być podmioty legitymujące się tytułem prawnym do nieruchomości, wynikającym z prawa własności, prawa użytkowania wieczystego, ograniczonego prawa rzeczowego, trwałego zarządu, stosunku zobowiązaniowego lub będące posiadaczami samoistnymi nieruchomości (w przypadkach innego prawa niż własność Beneficjent powinien posiadać i przedłożyć w Urzędzie zgodę właściciela/współwłaściciela budynku).</w:t>
      </w:r>
      <w:r/>
    </w:p>
    <w:p>
      <w:pPr>
        <w:pStyle w:val="NormalWeb"/>
        <w:numPr>
          <w:ilvl w:val="0"/>
          <w:numId w:val="3"/>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Dotację mogą uzyskać podmioty wymienione w art. 403 ust. 4 ustawy z dnia 27 kwietnia 2001 r. Prawo ochrony środowiska (Dz. U. z 2018 r. poz. 799 ze zmianami).</w:t>
      </w:r>
      <w:r/>
    </w:p>
    <w:p>
      <w:pPr>
        <w:pStyle w:val="NormalWeb"/>
        <w:numPr>
          <w:ilvl w:val="0"/>
          <w:numId w:val="3"/>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Dotacja może być udzielona tylko jeden raz na przedsięwzięcie realizowane w danym budynku.</w:t>
      </w:r>
      <w:r/>
    </w:p>
    <w:p>
      <w:pPr>
        <w:pStyle w:val="NormalWeb"/>
        <w:numPr>
          <w:ilvl w:val="0"/>
          <w:numId w:val="3"/>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Dotacje dla przedsiębiorców stanowią pomoc de minimis, o której mowa w rozporządzeniu Komisji (UE) nr 1407/2013 z dnia 18 grudnia 2013 roku w sprawie stosowania art. 107 i 108 Traktatu o funkcjonowaniu Unii Europejskiej do pomocy de minimis (Dz. Urz. UE L nr 352 z 24 grudnia 2013 roku).</w:t>
      </w:r>
      <w:r/>
    </w:p>
    <w:p>
      <w:pPr>
        <w:pStyle w:val="NoSpacing"/>
      </w:pPr>
      <w:r>
        <w:rPr/>
      </w:r>
      <w:r/>
    </w:p>
    <w:p>
      <w:pPr>
        <w:pStyle w:val="Normal"/>
        <w:spacing w:before="60" w:after="60"/>
        <w:jc w:val="both"/>
      </w:pPr>
      <w:r>
        <w:rPr>
          <w:b/>
        </w:rPr>
        <w:t>§ 4.</w:t>
      </w:r>
      <w:r>
        <w:rPr/>
        <w:t> Dotacja udzielana jest wyłącznie na dofinansowanie niezbędnych kosztów realizacji przedsięwzięcia (kosztów kwalifikowanych):</w:t>
      </w:r>
      <w:r/>
    </w:p>
    <w:p>
      <w:pPr>
        <w:pStyle w:val="NormalWeb"/>
        <w:numPr>
          <w:ilvl w:val="0"/>
          <w:numId w:val="4"/>
        </w:numPr>
        <w:spacing w:beforeAutospacing="0" w:before="0" w:afterAutospacing="0" w:after="0"/>
        <w:jc w:val="both"/>
        <w:rPr>
          <w:sz w:val="24"/>
          <w:sz w:val="24"/>
          <w:szCs w:val="24"/>
          <w:rFonts w:ascii="Times New Roman" w:hAnsi="Times New Roman" w:eastAsia="Times New Roman" w:cs="Times New Roman"/>
          <w:lang w:eastAsia="pl-PL"/>
        </w:rPr>
      </w:pPr>
      <w:r>
        <w:rPr/>
        <w:t>koszt demontażu palenisk węglowych,</w:t>
      </w:r>
      <w:r/>
    </w:p>
    <w:p>
      <w:pPr>
        <w:pStyle w:val="NormalWeb"/>
        <w:numPr>
          <w:ilvl w:val="0"/>
          <w:numId w:val="4"/>
        </w:numPr>
        <w:spacing w:beforeAutospacing="0" w:before="0" w:afterAutospacing="0" w:after="0"/>
        <w:jc w:val="both"/>
        <w:rPr>
          <w:sz w:val="24"/>
          <w:sz w:val="24"/>
          <w:szCs w:val="24"/>
          <w:rFonts w:ascii="Times New Roman" w:hAnsi="Times New Roman" w:eastAsia="Times New Roman" w:cs="Times New Roman"/>
          <w:lang w:eastAsia="pl-PL"/>
        </w:rPr>
      </w:pPr>
      <w:r>
        <w:rPr/>
        <w:t>koszt zakupu i montażu nowego źródła ciepła,</w:t>
      </w:r>
      <w:r/>
    </w:p>
    <w:p>
      <w:pPr>
        <w:pStyle w:val="NormalWeb"/>
        <w:numPr>
          <w:ilvl w:val="0"/>
          <w:numId w:val="4"/>
        </w:numPr>
        <w:spacing w:beforeAutospacing="0" w:before="0" w:afterAutospacing="0" w:after="0"/>
        <w:jc w:val="both"/>
        <w:rPr>
          <w:sz w:val="24"/>
          <w:sz w:val="24"/>
          <w:szCs w:val="24"/>
          <w:rFonts w:ascii="Times New Roman" w:hAnsi="Times New Roman" w:eastAsia="Times New Roman" w:cs="Times New Roman"/>
          <w:lang w:eastAsia="pl-PL"/>
        </w:rPr>
      </w:pPr>
      <w:r>
        <w:rPr/>
        <w:t>koszt zakupu i montażu armatury niezbędnej do wykonania nowego systemu ogrzewania, w szczególności: rury, zawory, pompy, izolacje rurociągów, grzejniki, system odprowadzania spalin, itp.</w:t>
      </w:r>
      <w:r/>
    </w:p>
    <w:p>
      <w:pPr>
        <w:pStyle w:val="NoSpacing"/>
      </w:pPr>
      <w:r>
        <w:rPr/>
      </w:r>
      <w:r/>
    </w:p>
    <w:p>
      <w:pPr>
        <w:pStyle w:val="Normal"/>
        <w:spacing w:before="60" w:after="60"/>
        <w:jc w:val="both"/>
      </w:pPr>
      <w:r>
        <w:rPr>
          <w:b/>
        </w:rPr>
        <w:t>§ 5.</w:t>
      </w:r>
      <w:r>
        <w:rPr/>
        <w:t> Dotacja nie może być wykorzystana na:</w:t>
      </w:r>
      <w:r/>
    </w:p>
    <w:p>
      <w:pPr>
        <w:pStyle w:val="NormalWeb"/>
        <w:numPr>
          <w:ilvl w:val="0"/>
          <w:numId w:val="5"/>
        </w:numPr>
        <w:spacing w:beforeAutospacing="0" w:before="0" w:afterAutospacing="0" w:after="0"/>
        <w:jc w:val="both"/>
        <w:rPr>
          <w:sz w:val="24"/>
          <w:sz w:val="24"/>
          <w:szCs w:val="24"/>
          <w:rFonts w:ascii="Times New Roman" w:hAnsi="Times New Roman" w:eastAsia="Times New Roman" w:cs="Times New Roman"/>
          <w:lang w:eastAsia="pl-PL"/>
        </w:rPr>
      </w:pPr>
      <w:r>
        <w:rPr/>
        <w:t xml:space="preserve">pokrycie wydatków finansowanych przez inne podmioty (zakaz podwójnego finansowania),  </w:t>
      </w:r>
      <w:r/>
    </w:p>
    <w:p>
      <w:pPr>
        <w:pStyle w:val="NormalWeb"/>
        <w:numPr>
          <w:ilvl w:val="0"/>
          <w:numId w:val="5"/>
        </w:numPr>
        <w:spacing w:beforeAutospacing="0" w:before="0" w:afterAutospacing="0" w:after="0"/>
        <w:jc w:val="both"/>
        <w:rPr>
          <w:sz w:val="24"/>
          <w:sz w:val="24"/>
          <w:szCs w:val="24"/>
          <w:rFonts w:ascii="Times New Roman" w:hAnsi="Times New Roman" w:eastAsia="Times New Roman" w:cs="Times New Roman"/>
          <w:lang w:eastAsia="pl-PL"/>
        </w:rPr>
      </w:pPr>
      <w:r>
        <w:rPr/>
        <w:t>przygotowanie dokumentacji związanej z realizacją przedsięwzięcia, np. projekt budowlany, projekt wykonawczy, uzgodnienia itp.,</w:t>
      </w:r>
      <w:r/>
    </w:p>
    <w:p>
      <w:pPr>
        <w:pStyle w:val="NormalWeb"/>
        <w:numPr>
          <w:ilvl w:val="0"/>
          <w:numId w:val="5"/>
        </w:numPr>
        <w:spacing w:beforeAutospacing="0" w:before="0" w:afterAutospacing="0" w:after="0"/>
        <w:jc w:val="both"/>
        <w:rPr>
          <w:sz w:val="24"/>
          <w:sz w:val="24"/>
          <w:szCs w:val="24"/>
          <w:rFonts w:ascii="Times New Roman" w:hAnsi="Times New Roman" w:eastAsia="Times New Roman" w:cs="Times New Roman"/>
          <w:lang w:eastAsia="pl-PL"/>
        </w:rPr>
      </w:pPr>
      <w:r>
        <w:rPr/>
        <w:t>zakup urządzeń grzewczych nie stanowiących trwałego wyposażenia budynku,</w:t>
      </w:r>
      <w:r/>
    </w:p>
    <w:p>
      <w:pPr>
        <w:pStyle w:val="NormalWeb"/>
        <w:numPr>
          <w:ilvl w:val="0"/>
          <w:numId w:val="5"/>
        </w:numPr>
        <w:spacing w:beforeAutospacing="0" w:before="0" w:afterAutospacing="0" w:after="0"/>
        <w:jc w:val="both"/>
        <w:rPr>
          <w:sz w:val="24"/>
          <w:sz w:val="24"/>
          <w:szCs w:val="24"/>
          <w:rFonts w:ascii="Times New Roman" w:hAnsi="Times New Roman" w:eastAsia="Times New Roman" w:cs="Times New Roman"/>
          <w:lang w:eastAsia="pl-PL"/>
        </w:rPr>
      </w:pPr>
      <w:r>
        <w:rPr/>
        <w:t xml:space="preserve">zadania, których realizacja nie gwarantuje trwałego efektu ekologicznego, </w:t>
      </w:r>
      <w:r/>
    </w:p>
    <w:p>
      <w:pPr>
        <w:pStyle w:val="NormalWeb"/>
        <w:numPr>
          <w:ilvl w:val="0"/>
          <w:numId w:val="5"/>
        </w:numPr>
        <w:spacing w:beforeAutospacing="0" w:before="0" w:afterAutospacing="0" w:after="0"/>
        <w:jc w:val="both"/>
        <w:rPr>
          <w:sz w:val="24"/>
          <w:sz w:val="24"/>
          <w:szCs w:val="24"/>
          <w:rFonts w:ascii="Times New Roman" w:hAnsi="Times New Roman" w:eastAsia="Times New Roman" w:cs="Times New Roman"/>
          <w:lang w:eastAsia="pl-PL"/>
        </w:rPr>
      </w:pPr>
      <w:r>
        <w:rPr/>
        <w:t>refundację wydatków poniesionych przed datą zawarcia umowy dotacyjnej.</w:t>
      </w:r>
      <w:r/>
    </w:p>
    <w:p>
      <w:pPr>
        <w:pStyle w:val="NormalWeb"/>
        <w:spacing w:beforeAutospacing="0" w:before="0" w:afterAutospacing="0" w:after="0"/>
        <w:ind w:left="720"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spacing w:before="60" w:after="60"/>
        <w:jc w:val="both"/>
      </w:pPr>
      <w:r>
        <w:rPr>
          <w:b/>
        </w:rPr>
        <w:t>§ 6.</w:t>
      </w:r>
      <w:r>
        <w:rPr/>
        <w:t> Dotacją objęte są wyłącznie urządzenia fabrycznie nowe i zamontowane po raz pierwszy, spełniające normy i dopuszczone do użytkowania na terenie Polski.</w:t>
      </w:r>
      <w:r/>
    </w:p>
    <w:p>
      <w:pPr>
        <w:pStyle w:val="Normal"/>
        <w:ind w:firstLine="708"/>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rmal"/>
        <w:jc w:val="center"/>
        <w:rPr>
          <w:b/>
          <w:b/>
          <w:bCs/>
        </w:rPr>
      </w:pPr>
      <w:r>
        <w:rPr>
          <w:b/>
          <w:bCs/>
        </w:rPr>
        <w:t>Rozdział 3.</w:t>
      </w:r>
      <w:r/>
    </w:p>
    <w:p>
      <w:pPr>
        <w:pStyle w:val="Normal"/>
        <w:jc w:val="center"/>
        <w:rPr>
          <w:b/>
          <w:b/>
          <w:bCs/>
        </w:rPr>
      </w:pPr>
      <w:r>
        <w:rPr>
          <w:b/>
          <w:bCs/>
        </w:rPr>
        <w:t>Wysokość dofinansowania i tryb postępowania</w:t>
      </w:r>
      <w:r/>
    </w:p>
    <w:p>
      <w:pPr>
        <w:pStyle w:val="NormalWeb"/>
        <w:spacing w:beforeAutospacing="0" w:before="0" w:afterAutospacing="0" w:after="0"/>
        <w:jc w:val="both"/>
        <w:rPr>
          <w:sz w:val="24"/>
          <w:b/>
          <w:sz w:val="24"/>
          <w:b/>
          <w:szCs w:val="24"/>
          <w:rFonts w:ascii="Times New Roman" w:hAnsi="Times New Roman" w:eastAsia="Times New Roman" w:cs="Times New Roman"/>
          <w:color w:val="00000A"/>
          <w:lang w:val="pl-PL" w:eastAsia="pl-PL" w:bidi="ar-SA"/>
        </w:rPr>
      </w:pPr>
      <w:r>
        <w:rPr>
          <w:rFonts w:eastAsia="Times New Roman" w:cs="Times New Roman"/>
          <w:b/>
          <w:sz w:val="24"/>
          <w:szCs w:val="24"/>
          <w:lang w:eastAsia="pl-PL"/>
        </w:rPr>
      </w:r>
      <w:r/>
    </w:p>
    <w:p>
      <w:pPr>
        <w:pStyle w:val="NoSpacing"/>
        <w:jc w:val="both"/>
      </w:pPr>
      <w:r>
        <w:rPr>
          <w:b/>
        </w:rPr>
        <w:t>§ 7.</w:t>
      </w:r>
      <w:r>
        <w:rPr/>
        <w:t xml:space="preserve"> Dotacja udzielana jest w wysokości 80% kosztów kwalifikowanych, o których mowa w § 4, jednak nie więcej niż 5.000 zł na jeden budynek. </w:t>
      </w:r>
      <w:r/>
    </w:p>
    <w:p>
      <w:pPr>
        <w:pStyle w:val="NoSpacing"/>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8.</w:t>
      </w:r>
      <w:r>
        <w:rPr/>
        <w:t xml:space="preserve"> 1. Dotacja udzielana jest na wniosek. </w:t>
      </w:r>
      <w:r/>
    </w:p>
    <w:p>
      <w:pPr>
        <w:pStyle w:val="Normal"/>
        <w:numPr>
          <w:ilvl w:val="0"/>
          <w:numId w:val="6"/>
        </w:numPr>
        <w:spacing w:before="60" w:after="60"/>
        <w:ind w:left="284" w:hanging="284"/>
        <w:jc w:val="both"/>
        <w:rPr>
          <w:sz w:val="24"/>
          <w:sz w:val="24"/>
          <w:szCs w:val="24"/>
          <w:rFonts w:ascii="Times New Roman" w:hAnsi="Times New Roman" w:eastAsia="Times New Roman" w:cs="Times New Roman"/>
          <w:lang w:eastAsia="pl-PL"/>
        </w:rPr>
      </w:pPr>
      <w:r>
        <w:rPr/>
        <w:t xml:space="preserve">Złożenie wniosku nie jest jednoznaczne z udzieleniem dotacji. </w:t>
      </w:r>
      <w:r/>
    </w:p>
    <w:p>
      <w:pPr>
        <w:pStyle w:val="NormalWeb"/>
        <w:numPr>
          <w:ilvl w:val="0"/>
          <w:numId w:val="6"/>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Wnioski o udzielenie dotacji składa się w Urzędzie Miejskim w terminie od 30 września roku poprzedzającego rok realizacji przedsięwzięcia do 31 maja roku, w którym przedsięwzięcie ma być realizowane, według wzoru stanowiącego załącznik do Regulaminu. Wnioski złożone w innym terminie pozostaną bez rozpatrzenia, z zastrzeżeniem ust. 4</w:t>
      </w:r>
      <w:r/>
    </w:p>
    <w:p>
      <w:pPr>
        <w:pStyle w:val="NormalWeb"/>
        <w:numPr>
          <w:ilvl w:val="0"/>
          <w:numId w:val="6"/>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 xml:space="preserve">Burmistrz Miasta w szczególnie uzasadnionych przypadkach może na wniosek wnioskodawcy przyjąć wniosek złożony po terminie, o którym mowa w ust. 3. </w:t>
      </w:r>
      <w:r/>
    </w:p>
    <w:p>
      <w:pPr>
        <w:pStyle w:val="NormalWeb"/>
        <w:numPr>
          <w:ilvl w:val="0"/>
          <w:numId w:val="6"/>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W przypadku, gdy wnioskodawca jest przedsiębiorcą i ubiega się o dotację stanowiącą pomoc de minimis, do wniosku o udzielenie dotacji winien dołączyć:</w:t>
      </w:r>
      <w:r/>
    </w:p>
    <w:p>
      <w:pPr>
        <w:pStyle w:val="NormalWeb"/>
        <w:numPr>
          <w:ilvl w:val="0"/>
          <w:numId w:val="9"/>
        </w:numPr>
        <w:spacing w:beforeAutospacing="0" w:before="0" w:afterAutospacing="0" w:after="0"/>
        <w:jc w:val="both"/>
        <w:rPr>
          <w:sz w:val="24"/>
          <w:sz w:val="24"/>
          <w:szCs w:val="24"/>
          <w:rFonts w:ascii="Times New Roman" w:hAnsi="Times New Roman" w:eastAsia="Times New Roman" w:cs="Times New Roman"/>
          <w:lang w:eastAsia="pl-PL"/>
        </w:rPr>
      </w:pPr>
      <w:r>
        <w:rPr/>
        <w:t xml:space="preserve">wszystkie zaświadczenia o pomocy de minimis lub pomocy de minimis w rolnictwie i rybołówstwie, jakie otrzymał w roku, w którym ubiega się o pomoc, oraz w ciągu 2 poprzedzających go lat, albo oświadczenie o wielkości pomocy de minimis otrzymanej w tym okresie, albo oświadczeń o nieotrzymaniu takiej pomocy w tym okresie oraz </w:t>
      </w:r>
      <w:r/>
    </w:p>
    <w:p>
      <w:pPr>
        <w:pStyle w:val="NormalWeb"/>
        <w:numPr>
          <w:ilvl w:val="0"/>
          <w:numId w:val="9"/>
        </w:numPr>
        <w:spacing w:beforeAutospacing="0" w:before="0" w:afterAutospacing="0" w:after="0"/>
        <w:jc w:val="both"/>
        <w:rPr>
          <w:sz w:val="24"/>
          <w:sz w:val="24"/>
          <w:szCs w:val="24"/>
          <w:rFonts w:ascii="Times New Roman" w:hAnsi="Times New Roman" w:eastAsia="Times New Roman" w:cs="Times New Roman"/>
          <w:lang w:eastAsia="pl-PL"/>
        </w:rPr>
      </w:pPr>
      <w:r>
        <w:rPr/>
        <w:t xml:space="preserve">informacje określone w rozporządzeniu Rady Ministrów z dnia 29 marca 2010 r. w sprawie zakresu informacji przedstawionych przez podmiot ubiegający się o pomoc de minimis (Dz. U. z 2010 r. Nr 53, poz. 311 ze zmianami). </w:t>
      </w:r>
      <w:r/>
    </w:p>
    <w:p>
      <w:pPr>
        <w:pStyle w:val="NormalWeb"/>
        <w:numPr>
          <w:ilvl w:val="0"/>
          <w:numId w:val="6"/>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Kompletne i prawidłowo wypełnione wnioski rozpatrywane będą według kolejności zgłoszeń.</w:t>
      </w:r>
      <w:r/>
    </w:p>
    <w:p>
      <w:pPr>
        <w:pStyle w:val="NormalWeb"/>
        <w:numPr>
          <w:ilvl w:val="0"/>
          <w:numId w:val="6"/>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Wnioski niekompletne lub nieprawidłowo wypełnione, po bezskutecznym wezwaniu do uzupełnienia, podlegają odrzuceniu.</w:t>
      </w:r>
      <w:r/>
    </w:p>
    <w:p>
      <w:pPr>
        <w:pStyle w:val="NormalWeb"/>
        <w:numPr>
          <w:ilvl w:val="0"/>
          <w:numId w:val="6"/>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 xml:space="preserve">Wnioski spełniające wymogi formalne podlegają ocenie merytorycznej. </w:t>
      </w:r>
      <w:r/>
    </w:p>
    <w:p>
      <w:pPr>
        <w:pStyle w:val="NormalWeb"/>
        <w:numPr>
          <w:ilvl w:val="0"/>
          <w:numId w:val="6"/>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Decyzję o przyznaniu dotacji podejmuje Burmistrz.</w:t>
      </w:r>
      <w:r/>
    </w:p>
    <w:p>
      <w:pPr>
        <w:pStyle w:val="NormalWeb"/>
        <w:numPr>
          <w:ilvl w:val="0"/>
          <w:numId w:val="6"/>
        </w:numPr>
        <w:spacing w:beforeAutospacing="0" w:before="60" w:afterAutospacing="0" w:after="60"/>
        <w:ind w:left="284" w:hanging="284"/>
        <w:jc w:val="both"/>
        <w:rPr>
          <w:sz w:val="24"/>
          <w:sz w:val="24"/>
          <w:szCs w:val="24"/>
          <w:rFonts w:ascii="Times New Roman" w:hAnsi="Times New Roman" w:eastAsia="Times New Roman" w:cs="Times New Roman"/>
          <w:lang w:eastAsia="pl-PL"/>
        </w:rPr>
      </w:pPr>
      <w:r>
        <w:rPr/>
        <w:t>Rozstrzygnięcie o przyznaniu dotacji nie jest decyzją administracyjną w rozumieniu przepisów Kodeksu postępowania administracyjnego.</w:t>
      </w:r>
      <w:r/>
    </w:p>
    <w:p>
      <w:pPr>
        <w:pStyle w:val="NoSpacing"/>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9.</w:t>
      </w:r>
      <w:r>
        <w:rPr/>
        <w:t> Dotacje udzielane są do wysokości środków finansowych zarezerwowanych na ten cel w budżecie Miasta.</w:t>
      </w:r>
      <w:r/>
    </w:p>
    <w:p>
      <w:pPr>
        <w:pStyle w:val="NoSpacing"/>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10.</w:t>
      </w:r>
      <w:r>
        <w:rPr/>
        <w:t> 1. Burmistrz może odmówić udzielenia dotacji w przypadku:</w:t>
      </w:r>
      <w:r/>
    </w:p>
    <w:p>
      <w:pPr>
        <w:pStyle w:val="NormalWeb"/>
        <w:numPr>
          <w:ilvl w:val="0"/>
          <w:numId w:val="8"/>
        </w:numPr>
        <w:spacing w:beforeAutospacing="0" w:before="0" w:afterAutospacing="0" w:after="0"/>
        <w:jc w:val="both"/>
        <w:rPr>
          <w:sz w:val="24"/>
          <w:sz w:val="24"/>
          <w:szCs w:val="24"/>
          <w:rFonts w:ascii="Times New Roman" w:hAnsi="Times New Roman" w:eastAsia="Times New Roman" w:cs="Times New Roman"/>
          <w:lang w:eastAsia="pl-PL"/>
        </w:rPr>
      </w:pPr>
      <w:r>
        <w:rPr/>
        <w:t xml:space="preserve">niespełnienia przez Wnioskodawcę warunków określonych w Regulaminie,   </w:t>
      </w:r>
      <w:r/>
    </w:p>
    <w:p>
      <w:pPr>
        <w:pStyle w:val="NormalWeb"/>
        <w:numPr>
          <w:ilvl w:val="0"/>
          <w:numId w:val="8"/>
        </w:numPr>
        <w:spacing w:beforeAutospacing="0" w:before="0" w:afterAutospacing="0" w:after="0"/>
        <w:jc w:val="both"/>
        <w:rPr>
          <w:sz w:val="24"/>
          <w:sz w:val="24"/>
          <w:szCs w:val="24"/>
          <w:rFonts w:ascii="Times New Roman" w:hAnsi="Times New Roman" w:eastAsia="Times New Roman" w:cs="Times New Roman"/>
          <w:lang w:eastAsia="pl-PL"/>
        </w:rPr>
      </w:pPr>
      <w:r>
        <w:rPr/>
        <w:t>wyczerpania środków zarezerwowanych w budżecie Miasta na dofinansowanie przedsięwzięć.</w:t>
      </w:r>
      <w:r/>
    </w:p>
    <w:p>
      <w:pPr>
        <w:pStyle w:val="NoSpacing"/>
        <w:numPr>
          <w:ilvl w:val="0"/>
          <w:numId w:val="12"/>
        </w:numPr>
        <w:ind w:left="284" w:hanging="284"/>
        <w:jc w:val="both"/>
        <w:rPr>
          <w:sz w:val="24"/>
          <w:sz w:val="24"/>
          <w:szCs w:val="24"/>
          <w:rFonts w:ascii="Times New Roman" w:hAnsi="Times New Roman" w:eastAsia="Times New Roman" w:cs="Times New Roman"/>
          <w:lang w:eastAsia="pl-PL"/>
        </w:rPr>
      </w:pPr>
      <w:r>
        <w:rPr/>
        <w:t xml:space="preserve">W przypadkach, o których mowa w ust. 1 prawidłowe, pod względem formalnym i merytorycznym, wnioski będą realizowane w pierwszej kolejności po zabezpieczeniu w budżecie dodatkowych środków, albo w latach następnych, z wyłączeniem sytuacji, kiedy Wnioskodawca dokona zmiany systemu ogrzewania przed podpisaniem umowy o dofinansowanie.  </w:t>
      </w:r>
      <w:r/>
    </w:p>
    <w:p>
      <w:pPr>
        <w:pStyle w:val="NoSpacing"/>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11. </w:t>
      </w:r>
      <w:r>
        <w:rPr/>
        <w:t>1. Burmistrz zawiadamia Wnioskodawcę o przyznaniu dotacji oraz o terminie i miejscu podpisania umowy, zwanej dalej umową.</w:t>
      </w:r>
      <w:r/>
    </w:p>
    <w:p>
      <w:pPr>
        <w:pStyle w:val="NoSpacing"/>
        <w:numPr>
          <w:ilvl w:val="0"/>
          <w:numId w:val="13"/>
        </w:numPr>
        <w:ind w:left="284" w:hanging="284"/>
        <w:jc w:val="both"/>
        <w:rPr>
          <w:sz w:val="24"/>
          <w:sz w:val="24"/>
          <w:szCs w:val="24"/>
          <w:rFonts w:ascii="Times New Roman" w:hAnsi="Times New Roman" w:eastAsia="Times New Roman" w:cs="Times New Roman"/>
          <w:lang w:eastAsia="pl-PL"/>
        </w:rPr>
      </w:pPr>
      <w:r>
        <w:rPr/>
        <w:t>Niestawienie się Wnioskodawcy do podpisania umowy uznaje się za rezygnację z dotacji, o ile przed upływem wskazanego terminu Wnioskodawca nie wystąpi do Burmistrza o zmianę tego terminu.</w:t>
      </w:r>
      <w:r/>
    </w:p>
    <w:p>
      <w:pPr>
        <w:pStyle w:val="NoSpacing"/>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12.</w:t>
      </w:r>
      <w:r>
        <w:rPr/>
        <w:t> Wnioskodawca podpisując umowę, zobowiązuje się do realizacji przedsięwzięcia i jego rozliczenia w terminie i na zasadach w niej określonych.</w:t>
      </w:r>
      <w:r/>
    </w:p>
    <w:p>
      <w:pPr>
        <w:pStyle w:val="NoSpacing"/>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13</w:t>
      </w:r>
      <w:r>
        <w:rPr/>
        <w:t>. Po zrealizowaniu przedsięwzięcia Beneficjent składa wniosek o wypłatę dotacji wraz z następującymi załącznikami:</w:t>
      </w:r>
      <w:r/>
    </w:p>
    <w:p>
      <w:pPr>
        <w:pStyle w:val="NoSpacing"/>
        <w:numPr>
          <w:ilvl w:val="0"/>
          <w:numId w:val="10"/>
        </w:numPr>
        <w:jc w:val="both"/>
        <w:rPr>
          <w:sz w:val="24"/>
          <w:sz w:val="24"/>
          <w:szCs w:val="24"/>
          <w:rFonts w:ascii="Times New Roman" w:hAnsi="Times New Roman" w:eastAsia="Times New Roman" w:cs="Times New Roman"/>
          <w:lang w:eastAsia="pl-PL"/>
        </w:rPr>
      </w:pPr>
      <w:r>
        <w:rPr/>
        <w:t xml:space="preserve">kserokopią faktur VAT lub rachunków potwierdzających poniesione koszty inwestycji (oryginały do wglądu), protokołem odbioru końcowego robót budowlanych lub oświadczeniem uprawnionego instalatora o prawidłowości wykonania robót zgodnie z obowiązującymi przepisami i normami, </w:t>
      </w:r>
      <w:r/>
    </w:p>
    <w:p>
      <w:pPr>
        <w:pStyle w:val="NoSpacing"/>
        <w:numPr>
          <w:ilvl w:val="0"/>
          <w:numId w:val="10"/>
        </w:numPr>
        <w:jc w:val="both"/>
        <w:rPr>
          <w:sz w:val="24"/>
          <w:sz w:val="24"/>
          <w:szCs w:val="24"/>
          <w:rFonts w:ascii="Times New Roman" w:hAnsi="Times New Roman" w:eastAsia="Times New Roman" w:cs="Times New Roman"/>
          <w:lang w:eastAsia="pl-PL"/>
        </w:rPr>
      </w:pPr>
      <w:r>
        <w:rPr/>
        <w:t xml:space="preserve">w przypadku kotłów na paliwo stałe - certyfikatem wystawionym przez akredytowaną jednostkę badawczą stwierdzającym spełnianie przez kocioł wszystkich parametrów związanych ze sprawnością urządzenia oraz emisją zanieczyszczeń do powietrza zgodnie z wymogami określonymi w uchwale Sejmiku Województwa Wielkopolskiego, o której mowa w art. 2 ust. 5 pkt 1,  </w:t>
      </w:r>
      <w:r/>
    </w:p>
    <w:p>
      <w:pPr>
        <w:pStyle w:val="NoSpacing"/>
        <w:numPr>
          <w:ilvl w:val="0"/>
          <w:numId w:val="10"/>
        </w:numPr>
        <w:jc w:val="both"/>
        <w:rPr>
          <w:sz w:val="24"/>
          <w:sz w:val="24"/>
          <w:szCs w:val="24"/>
          <w:rFonts w:ascii="Times New Roman" w:hAnsi="Times New Roman" w:eastAsia="Times New Roman" w:cs="Times New Roman"/>
          <w:lang w:eastAsia="pl-PL"/>
        </w:rPr>
      </w:pPr>
      <w:r>
        <w:rPr/>
        <w:t>oświadczenie o zlikwidowaniu pieców/kotłowni węglowych oraz kominków,</w:t>
      </w:r>
      <w:r/>
    </w:p>
    <w:p>
      <w:pPr>
        <w:pStyle w:val="NoSpacing"/>
        <w:numPr>
          <w:ilvl w:val="0"/>
          <w:numId w:val="10"/>
        </w:numPr>
        <w:jc w:val="both"/>
        <w:rPr>
          <w:sz w:val="24"/>
          <w:sz w:val="24"/>
          <w:szCs w:val="24"/>
          <w:rFonts w:ascii="Times New Roman" w:hAnsi="Times New Roman" w:eastAsia="Times New Roman" w:cs="Times New Roman"/>
          <w:lang w:eastAsia="pl-PL"/>
        </w:rPr>
      </w:pPr>
      <w:r>
        <w:rPr/>
        <w:t>oświadczenie o rodzaju i mocy zainstalowanego ogrzewania oraz terminie zrealizowania przedsięwzięcia.</w:t>
      </w:r>
      <w:r/>
    </w:p>
    <w:p>
      <w:pPr>
        <w:pStyle w:val="NoSpacing"/>
        <w:ind w:left="720" w:hanging="0"/>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14.</w:t>
      </w:r>
      <w:r>
        <w:rPr/>
        <w:t> Dotacja wypłacona zostanie na rachunek bankowy wskazany przez Beneficjenta we wniosku o udzielenie dotacji.</w:t>
      </w:r>
      <w:r/>
    </w:p>
    <w:p>
      <w:pPr>
        <w:pStyle w:val="NoSpacing"/>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15.</w:t>
      </w:r>
      <w:r>
        <w:rPr/>
        <w:t xml:space="preserve"> Przed wypłaceniem dotacji przeprowadzane są oględziny w celu sprawdzenia i udokumentowania wykonania przedsięwzięcia. </w:t>
      </w:r>
      <w:r/>
    </w:p>
    <w:p>
      <w:pPr>
        <w:pStyle w:val="NoSpacing"/>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16.</w:t>
      </w:r>
      <w:r>
        <w:rPr/>
        <w:t xml:space="preserve"> Realizacja przedsięwzięcia powinna nastąpić w terminie do 10 grudnia danego roku. Na uzasadniony wniosek Beneficjenta Burmistrz może przedłużyć okres realizacji przedsięwzięcia. </w:t>
      </w:r>
      <w:r/>
    </w:p>
    <w:p>
      <w:pPr>
        <w:pStyle w:val="NoSpacing"/>
        <w:jc w:val="both"/>
        <w:rPr>
          <w:sz w:val="24"/>
          <w:sz w:val="24"/>
          <w:szCs w:val="24"/>
          <w:rFonts w:ascii="Times New Roman" w:hAnsi="Times New Roman" w:eastAsia="Times New Roman" w:cs="Times New Roman"/>
          <w:color w:val="00000A"/>
          <w:lang w:val="pl-PL" w:eastAsia="pl-PL" w:bidi="ar-SA"/>
        </w:rPr>
      </w:pPr>
      <w:r>
        <w:rPr>
          <w:rFonts w:eastAsia="Times New Roman" w:cs="Times New Roman"/>
          <w:sz w:val="24"/>
          <w:szCs w:val="24"/>
          <w:lang w:eastAsia="pl-PL"/>
        </w:rPr>
      </w:r>
      <w:r/>
    </w:p>
    <w:p>
      <w:pPr>
        <w:pStyle w:val="NoSpacing"/>
        <w:jc w:val="both"/>
      </w:pPr>
      <w:r>
        <w:rPr>
          <w:b/>
        </w:rPr>
        <w:t>§ 17.</w:t>
      </w:r>
      <w:r>
        <w:rPr/>
        <w:t xml:space="preserve"> Beneficjent zobowiązany jest do utrzymania systemu ogrzewania objętego dotacją i przestrzegania zapisów niniejszego Regulaminu oraz umowy przez okres trwałości przedsięwzięcia wynoszący 5 lat, licząc od dnia otrzymania dotacji. </w:t>
      </w:r>
      <w:r/>
    </w:p>
    <w:sectPr>
      <w:headerReference w:type="default" r:id="rId2"/>
      <w:footerReference w:type="default" r:id="rId3"/>
      <w:type w:val="nextPage"/>
      <w:pgSz w:w="11906" w:h="16838"/>
      <w:pgMar w:left="1418"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Symbol">
    <w:charset w:val="ee"/>
    <w:family w:val="roman"/>
    <w:pitch w:val="variable"/>
  </w:font>
  <w:font w:name="Liberation Sans">
    <w:altName w:val="Arial"/>
    <w:charset w:val="ee"/>
    <w:family w:val="swiss"/>
    <w:pitch w:val="variable"/>
  </w:font>
  <w:font w:name="TimesNewRomanPSMT">
    <w:charset w:val="ee"/>
    <w:family w:val="roman"/>
    <w:pitch w:val="variable"/>
  </w:font>
  <w:font w:name="TimesNewRomanPS-BoldM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Stopka"/>
          <w:jc w:val="center"/>
        </w:pPr>
        <w:r>
          <w:rPr/>
          <w:fldChar w:fldCharType="begin"/>
        </w:r>
        <w:r>
          <w:instrText> PAGE </w:instrText>
        </w:r>
        <w:r>
          <w:fldChar w:fldCharType="separate"/>
        </w:r>
        <w:r>
          <w:t>4</w:t>
        </w:r>
        <w:r>
          <w:fldChar w:fldCharType="end"/>
        </w:r>
        <w:r/>
      </w:p>
    </w:sdtContent>
  </w:sdt>
  <w:p>
    <w:pPr>
      <w:pStyle w:val="Stopk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357"/>
        </w:tabs>
        <w:ind w:left="0" w:hanging="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decimal"/>
      <w:lvlText w:val="%1."/>
      <w:lvlJc w:val="left"/>
      <w:pPr>
        <w:tabs>
          <w:tab w:val="num" w:pos="357"/>
        </w:tabs>
        <w:ind w:left="0" w:hanging="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720"/>
        </w:tabs>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2"/>
      <w:numFmt w:val="decimal"/>
      <w:lvlText w:val="%1."/>
      <w:lvlJc w:val="left"/>
      <w:pPr>
        <w:tabs>
          <w:tab w:val="num" w:pos="357"/>
        </w:tabs>
        <w:ind w:left="0" w:hanging="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680"/>
        </w:tabs>
        <w:ind w:left="680" w:hanging="340"/>
      </w:pPr>
    </w:lvl>
    <w:lvl w:ilvl="1">
      <w:start w:val="1"/>
      <w:numFmt w:val="lowerLetter"/>
      <w:lvlText w:val="%2)"/>
      <w:lvlJc w:val="left"/>
      <w:pPr>
        <w:tabs>
          <w:tab w:val="num" w:pos="1780"/>
        </w:tabs>
        <w:ind w:left="1780" w:hanging="360"/>
      </w:pPr>
    </w:lvl>
    <w:lvl w:ilvl="2">
      <w:start w:val="1"/>
      <w:numFmt w:val="lowerRoman"/>
      <w:lvlText w:val="%2.%3."/>
      <w:lvlJc w:val="left"/>
      <w:pPr>
        <w:tabs>
          <w:tab w:val="num" w:pos="2500"/>
        </w:tabs>
        <w:ind w:left="2500" w:hanging="180"/>
      </w:pPr>
    </w:lvl>
    <w:lvl w:ilvl="3">
      <w:start w:val="1"/>
      <w:numFmt w:val="decimal"/>
      <w:lvlText w:val="%2.%3.%4."/>
      <w:lvlJc w:val="left"/>
      <w:pPr>
        <w:tabs>
          <w:tab w:val="num" w:pos="3220"/>
        </w:tabs>
        <w:ind w:left="3220" w:hanging="360"/>
      </w:pPr>
    </w:lvl>
    <w:lvl w:ilvl="4">
      <w:start w:val="1"/>
      <w:numFmt w:val="lowerLetter"/>
      <w:lvlText w:val="%2.%3.%4.%5."/>
      <w:lvlJc w:val="left"/>
      <w:pPr>
        <w:tabs>
          <w:tab w:val="num" w:pos="3940"/>
        </w:tabs>
        <w:ind w:left="3940" w:hanging="360"/>
      </w:pPr>
    </w:lvl>
    <w:lvl w:ilvl="5">
      <w:start w:val="1"/>
      <w:numFmt w:val="lowerRoman"/>
      <w:lvlText w:val="%2.%3.%4.%5.%6."/>
      <w:lvlJc w:val="left"/>
      <w:pPr>
        <w:tabs>
          <w:tab w:val="num" w:pos="4660"/>
        </w:tabs>
        <w:ind w:left="4660" w:hanging="180"/>
      </w:pPr>
    </w:lvl>
    <w:lvl w:ilvl="6">
      <w:start w:val="1"/>
      <w:numFmt w:val="decimal"/>
      <w:lvlText w:val="%2.%3.%4.%5.%6.%7."/>
      <w:lvlJc w:val="left"/>
      <w:pPr>
        <w:tabs>
          <w:tab w:val="num" w:pos="5380"/>
        </w:tabs>
        <w:ind w:left="5380" w:hanging="360"/>
      </w:pPr>
    </w:lvl>
    <w:lvl w:ilvl="7">
      <w:start w:val="1"/>
      <w:numFmt w:val="lowerLetter"/>
      <w:lvlText w:val="%2.%3.%4.%5.%6.%7.%8."/>
      <w:lvlJc w:val="left"/>
      <w:pPr>
        <w:tabs>
          <w:tab w:val="num" w:pos="6100"/>
        </w:tabs>
        <w:ind w:left="6100" w:hanging="360"/>
      </w:pPr>
    </w:lvl>
    <w:lvl w:ilvl="8">
      <w:start w:val="1"/>
      <w:numFmt w:val="lowerRoman"/>
      <w:lvlText w:val="%2.%3.%4.%5.%6.%7.%8.%9."/>
      <w:lvlJc w:val="left"/>
      <w:pPr>
        <w:tabs>
          <w:tab w:val="num" w:pos="6820"/>
        </w:tabs>
        <w:ind w:left="6820" w:hanging="180"/>
      </w:pPr>
    </w:lvl>
  </w:abstractNum>
  <w:abstractNum w:abstractNumId="8">
    <w:lvl w:ilvl="0">
      <w:start w:val="1"/>
      <w:numFmt w:val="decimal"/>
      <w:lvlText w:val="%1)"/>
      <w:lvlJc w:val="left"/>
      <w:pPr>
        <w:tabs>
          <w:tab w:val="num" w:pos="720"/>
        </w:tabs>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 %1."/>
      <w:lvlJc w:val="left"/>
      <w:pPr>
        <w:ind w:left="360" w:hanging="360"/>
      </w:pPr>
      <w:rPr>
        <w:i w:val="false"/>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52ac4"/>
    <w:pPr>
      <w:widowControl/>
      <w:suppressAutoHyphens w:val="true"/>
      <w:bidi w:val="0"/>
      <w:jc w:val="left"/>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rPr/>
  </w:style>
  <w:style w:type="character" w:styleId="Wyrnienie">
    <w:name w:val="Wyróżnienie"/>
    <w:uiPriority w:val="20"/>
    <w:qFormat/>
    <w:rsid w:val="00452ac4"/>
    <w:rPr>
      <w:i/>
      <w:iCs/>
    </w:rPr>
  </w:style>
  <w:style w:type="character" w:styleId="St" w:customStyle="1">
    <w:name w:val="st"/>
    <w:rsid w:val="00452ac4"/>
    <w:rPr/>
  </w:style>
  <w:style w:type="character" w:styleId="Annotationreference">
    <w:name w:val="annotation reference"/>
    <w:basedOn w:val="DefaultParagraphFont"/>
    <w:uiPriority w:val="99"/>
    <w:semiHidden/>
    <w:unhideWhenUsed/>
    <w:rsid w:val="002e3ade"/>
    <w:rPr>
      <w:sz w:val="16"/>
      <w:szCs w:val="16"/>
    </w:rPr>
  </w:style>
  <w:style w:type="character" w:styleId="TekstkomentarzaZnak" w:customStyle="1">
    <w:name w:val="Tekst komentarza Znak"/>
    <w:basedOn w:val="DefaultParagraphFont"/>
    <w:link w:val="Tekstkomentarza"/>
    <w:uiPriority w:val="99"/>
    <w:semiHidden/>
    <w:rsid w:val="002e3ade"/>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rsid w:val="002e3ade"/>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uiPriority w:val="99"/>
    <w:semiHidden/>
    <w:rsid w:val="002e3ade"/>
    <w:rPr>
      <w:rFonts w:ascii="Segoe UI" w:hAnsi="Segoe UI" w:eastAsia="Times New Roman" w:cs="Segoe UI"/>
      <w:sz w:val="18"/>
      <w:szCs w:val="18"/>
      <w:lang w:eastAsia="pl-PL"/>
    </w:rPr>
  </w:style>
  <w:style w:type="character" w:styleId="WW8Num6z0" w:customStyle="1">
    <w:name w:val="WW8Num6z0"/>
    <w:rsid w:val="002e3ade"/>
    <w:rPr>
      <w:rFonts w:ascii="Symbol" w:hAnsi="Symbol"/>
    </w:rPr>
  </w:style>
  <w:style w:type="character" w:styleId="NagwekZnak" w:customStyle="1">
    <w:name w:val="Nagłówek Znak"/>
    <w:basedOn w:val="DefaultParagraphFont"/>
    <w:link w:val="Nagwek"/>
    <w:uiPriority w:val="99"/>
    <w:rsid w:val="00c82f72"/>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rsid w:val="00c82f72"/>
    <w:rPr>
      <w:rFonts w:ascii="Times New Roman" w:hAnsi="Times New Roman" w:eastAsia="Times New Roman" w:cs="Times New Roman"/>
      <w:sz w:val="24"/>
      <w:szCs w:val="24"/>
      <w:lang w:eastAsia="pl-PL"/>
    </w:rPr>
  </w:style>
  <w:style w:type="character" w:styleId="ListLabel1">
    <w:name w:val="ListLabel 1"/>
    <w:rPr>
      <w:b/>
      <w:i w:val="false"/>
    </w:rPr>
  </w:style>
  <w:style w:type="character" w:styleId="ListLabel2">
    <w:name w:val="ListLabel 2"/>
    <w:rPr>
      <w:b/>
    </w:rPr>
  </w:style>
  <w:style w:type="character" w:styleId="ListLabel3">
    <w:name w:val="ListLabel 3"/>
    <w:rPr>
      <w:b w:val="false"/>
    </w:rPr>
  </w:style>
  <w:style w:type="character" w:styleId="ListLabel4">
    <w:name w:val="ListLabel 4"/>
    <w:rPr>
      <w:rFonts w:cs="Times New Roman"/>
    </w:rPr>
  </w:style>
  <w:style w:type="character" w:styleId="ListLabel5">
    <w:name w:val="ListLabel 5"/>
    <w:rPr>
      <w:b/>
      <w:i w:val="false"/>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rmalWeb">
    <w:name w:val="Normal (Web)"/>
    <w:basedOn w:val="Normal"/>
    <w:uiPriority w:val="99"/>
    <w:unhideWhenUsed/>
    <w:rsid w:val="00452ac4"/>
    <w:pPr>
      <w:spacing w:before="280" w:after="280"/>
    </w:pPr>
    <w:rPr/>
  </w:style>
  <w:style w:type="paragraph" w:styleId="Annotationtext">
    <w:name w:val="annotation text"/>
    <w:basedOn w:val="Normal"/>
    <w:link w:val="TekstkomentarzaZnak"/>
    <w:uiPriority w:val="99"/>
    <w:semiHidden/>
    <w:unhideWhenUsed/>
    <w:rsid w:val="002e3ade"/>
    <w:pPr/>
    <w:rPr>
      <w:sz w:val="20"/>
      <w:szCs w:val="20"/>
    </w:rPr>
  </w:style>
  <w:style w:type="paragraph" w:styleId="Annotationsubject">
    <w:name w:val="annotation subject"/>
    <w:basedOn w:val="Annotationtext"/>
    <w:link w:val="TematkomentarzaZnak"/>
    <w:uiPriority w:val="99"/>
    <w:semiHidden/>
    <w:unhideWhenUsed/>
    <w:rsid w:val="002e3ade"/>
    <w:pPr/>
    <w:rPr>
      <w:b/>
      <w:bCs/>
    </w:rPr>
  </w:style>
  <w:style w:type="paragraph" w:styleId="BalloonText">
    <w:name w:val="Balloon Text"/>
    <w:basedOn w:val="Normal"/>
    <w:link w:val="TekstdymkaZnak"/>
    <w:uiPriority w:val="99"/>
    <w:semiHidden/>
    <w:unhideWhenUsed/>
    <w:rsid w:val="002e3ade"/>
    <w:pPr/>
    <w:rPr>
      <w:rFonts w:ascii="Segoe UI" w:hAnsi="Segoe UI" w:cs="Segoe UI"/>
      <w:sz w:val="18"/>
      <w:szCs w:val="18"/>
    </w:rPr>
  </w:style>
  <w:style w:type="paragraph" w:styleId="ListParagraph">
    <w:name w:val="List Paragraph"/>
    <w:basedOn w:val="Normal"/>
    <w:uiPriority w:val="34"/>
    <w:qFormat/>
    <w:rsid w:val="002e3ade"/>
    <w:pPr>
      <w:spacing w:before="0" w:after="0"/>
      <w:ind w:left="720" w:hanging="0"/>
      <w:contextualSpacing/>
    </w:pPr>
    <w:rPr/>
  </w:style>
  <w:style w:type="paragraph" w:styleId="Gwka">
    <w:name w:val="Główka"/>
    <w:basedOn w:val="Normal"/>
    <w:link w:val="NagwekZnak"/>
    <w:uiPriority w:val="99"/>
    <w:unhideWhenUsed/>
    <w:rsid w:val="00c82f72"/>
    <w:pPr>
      <w:tabs>
        <w:tab w:val="center" w:pos="4536" w:leader="none"/>
        <w:tab w:val="right" w:pos="9072" w:leader="none"/>
      </w:tabs>
    </w:pPr>
    <w:rPr/>
  </w:style>
  <w:style w:type="paragraph" w:styleId="Stopka">
    <w:name w:val="Stopka"/>
    <w:basedOn w:val="Normal"/>
    <w:link w:val="StopkaZnak"/>
    <w:uiPriority w:val="99"/>
    <w:unhideWhenUsed/>
    <w:rsid w:val="00c82f72"/>
    <w:pPr>
      <w:tabs>
        <w:tab w:val="center" w:pos="4536" w:leader="none"/>
        <w:tab w:val="right" w:pos="9072" w:leader="none"/>
      </w:tabs>
    </w:pPr>
    <w:rPr/>
  </w:style>
  <w:style w:type="paragraph" w:styleId="NoSpacing">
    <w:name w:val="No Spacing"/>
    <w:uiPriority w:val="1"/>
    <w:qFormat/>
    <w:rsid w:val="000726a1"/>
    <w:pPr>
      <w:widowControl/>
      <w:suppressAutoHyphens w:val="true"/>
      <w:bidi w:val="0"/>
      <w:jc w:val="left"/>
    </w:pPr>
    <w:rPr>
      <w:rFonts w:ascii="Times New Roman" w:hAnsi="Times New Roman" w:eastAsia="Times New Roman" w:cs="Times New Roman"/>
      <w:color w:val="00000A"/>
      <w:sz w:val="24"/>
      <w:szCs w:val="24"/>
      <w:lang w:val="pl-PL" w:eastAsia="pl-PL" w:bidi="ar-SA"/>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76133-958B-4112-B5F9-C3D3009D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LibreOffice/4.3.1.2$Windows_x86 LibreOffice_project/958349dc3b25111dbca392fbc281a05559ef6848</Application>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2018-08-29T09:28:00Z</dcterms:created>
  <dc:creator>Admin</dc:creator>
  <dc:language>pl-PL</dc:language>
  <cp:lastModifiedBy>Agnieszka</cp:lastModifiedBy>
  <cp:lastPrinted>2018-11-15T12:05:07Z</cp:lastPrinted>
  <dcterms:modified xsi:type="dcterms:W3CDTF">2018-08-29T09:28:00Z</dcterms:modified>
  <cp:revision>2</cp:revision>
</cp:coreProperties>
</file>