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PRĘDKOŚĆ  ZABIJA NA DROGACH !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>
          <w:rFonts w:ascii="Bookman Old Style" w:hAnsi="Bookman Old Style"/>
          <w:b/>
          <w:bCs/>
          <w:sz w:val="24"/>
          <w:szCs w:val="24"/>
        </w:rPr>
        <w:t>STAN BEZPIECZEŃSTWA W RUCHU DROGOWYM W WIELKOPOLSCE W LATACH 2012 – 2016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inline distT="0" distB="0" distL="0" distR="0">
            <wp:extent cx="6771005" cy="3451225"/>
            <wp:effectExtent l="0" t="0" r="0" b="0"/>
            <wp:docPr id="1" name="Obiekt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W 201</w:t>
      </w:r>
      <w:r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 roku na drogach woj. wielkopolskiego zaistniało </w:t>
      </w:r>
      <w:r>
        <w:rPr>
          <w:rFonts w:ascii="Bookman Old Style" w:hAnsi="Bookman Old Style"/>
          <w:sz w:val="24"/>
          <w:szCs w:val="24"/>
        </w:rPr>
        <w:t>3122 wypadków,</w:t>
      </w:r>
      <w:r>
        <w:rPr>
          <w:rFonts w:ascii="Bookman Old Style" w:hAnsi="Bookman Old Style"/>
          <w:sz w:val="24"/>
          <w:szCs w:val="24"/>
        </w:rPr>
        <w:t xml:space="preserve"> w których 2</w:t>
      </w:r>
      <w:r>
        <w:rPr>
          <w:rFonts w:ascii="Bookman Old Style" w:hAnsi="Bookman Old Style"/>
          <w:sz w:val="24"/>
          <w:szCs w:val="24"/>
        </w:rPr>
        <w:t>94</w:t>
      </w:r>
      <w:r>
        <w:rPr>
          <w:rFonts w:ascii="Bookman Old Style" w:hAnsi="Bookman Old Style"/>
          <w:sz w:val="24"/>
          <w:szCs w:val="24"/>
        </w:rPr>
        <w:t xml:space="preserve"> os</w:t>
      </w:r>
      <w:r>
        <w:rPr>
          <w:rFonts w:ascii="Bookman Old Style" w:hAnsi="Bookman Old Style"/>
          <w:sz w:val="24"/>
          <w:szCs w:val="24"/>
        </w:rPr>
        <w:t>oby</w:t>
      </w:r>
      <w:r>
        <w:rPr>
          <w:rFonts w:ascii="Bookman Old Style" w:hAnsi="Bookman Old Style"/>
          <w:sz w:val="24"/>
          <w:szCs w:val="24"/>
        </w:rPr>
        <w:t xml:space="preserve"> poniosł</w:t>
      </w:r>
      <w:r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 śmierć.</w:t>
        <w:br/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Bookman Old Style" w:hAnsi="Bookman Old Style"/>
          <w:sz w:val="24"/>
          <w:szCs w:val="24"/>
        </w:rPr>
        <w:t>W porównaniu z rokiem 201</w:t>
      </w:r>
      <w:r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 r. nastąpił wzrost liczby </w:t>
      </w:r>
      <w:r>
        <w:rPr>
          <w:rFonts w:ascii="Bookman Old Style" w:hAnsi="Bookman Old Style"/>
          <w:sz w:val="24"/>
          <w:szCs w:val="24"/>
        </w:rPr>
        <w:t>wypadków drogowych o 818.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Bookman Old Style" w:hAnsi="Bookman Old Style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Od lat, jedną z głównych przyczyn tragicznych w skutkach wypadków drogowych obok nieustąpienia pierwszeństwa przejazdu jest 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PRĘDKOŚĆ I ZACHOWANIA ZWIĄZANE Z PRĘDKOŚCIĄ: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niedostosowanie prędkości do warunków ruchu,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niezachowanie bezpiecznej odległości między pojazdami,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gwałtowne hamowanie.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Bardzo niepokojącym zjawiskiem, niekorzystnie wpływającym na stan bezpieczeństwa w ruchu drogowym w województwie wielkopolskim, jest wzrost udziału „prędkości” jako głównej przyczyny po</w:t>
      </w:r>
      <w:r>
        <w:rPr>
          <w:rFonts w:ascii="Bookman Old Style" w:hAnsi="Bookman Old Style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 xml:space="preserve">stawania wypadków, </w:t>
        <w:br/>
        <w:t>w porównaniu do roku 201</w:t>
      </w:r>
      <w:r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RODZAJE ZDARZEŃ DROGOWYCH SPOWODOWANYCH „PRĘDKOŚCIĄ”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Niektóre rodzaje zdarzeń drogowych, gdzie główną przyczyną było niedostosowanie prędkości jazdy: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tbl>
      <w:tblPr>
        <w:tblStyle w:val="Tabela-Siatka"/>
        <w:tblW w:w="907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"/>
        <w:gridCol w:w="3927"/>
        <w:gridCol w:w="1"/>
        <w:gridCol w:w="1233"/>
        <w:gridCol w:w="1"/>
        <w:gridCol w:w="1163"/>
        <w:gridCol w:w="1"/>
        <w:gridCol w:w="1161"/>
        <w:gridCol w:w="1"/>
        <w:gridCol w:w="1162"/>
      </w:tblGrid>
      <w:tr>
        <w:trPr/>
        <w:tc>
          <w:tcPr>
            <w:tcW w:w="4347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Wypadki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Zabici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Ranni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Kolizje</w:t>
            </w:r>
          </w:p>
        </w:tc>
      </w:tr>
      <w:tr>
        <w:trPr/>
        <w:tc>
          <w:tcPr>
            <w:tcW w:w="419" w:type="dxa"/>
            <w:vMerge w:val="restart"/>
            <w:tcBorders/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PRĘDKOŚĆ</w:t>
            </w:r>
          </w:p>
        </w:tc>
        <w:tc>
          <w:tcPr>
            <w:tcW w:w="39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wywrócenie się pojazdu</w:t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73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129</w:t>
            </w:r>
          </w:p>
        </w:tc>
        <w:tc>
          <w:tcPr>
            <w:tcW w:w="11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403</w:t>
            </w:r>
          </w:p>
        </w:tc>
      </w:tr>
      <w:tr>
        <w:trPr/>
        <w:tc>
          <w:tcPr>
            <w:tcW w:w="41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39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najechanie na drzewo</w:t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58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109</w:t>
            </w:r>
          </w:p>
        </w:tc>
        <w:tc>
          <w:tcPr>
            <w:tcW w:w="11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139</w:t>
            </w:r>
          </w:p>
        </w:tc>
      </w:tr>
      <w:tr>
        <w:trPr/>
        <w:tc>
          <w:tcPr>
            <w:tcW w:w="41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39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zderzenie pojazdów tylne</w:t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45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109</w:t>
            </w:r>
          </w:p>
        </w:tc>
        <w:tc>
          <w:tcPr>
            <w:tcW w:w="11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1020</w:t>
            </w:r>
          </w:p>
        </w:tc>
      </w:tr>
      <w:tr>
        <w:trPr/>
        <w:tc>
          <w:tcPr>
            <w:tcW w:w="41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39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zderzenie pojazdów czołowe</w:t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14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97</w:t>
            </w:r>
          </w:p>
        </w:tc>
        <w:tc>
          <w:tcPr>
            <w:tcW w:w="11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134</w:t>
            </w:r>
          </w:p>
        </w:tc>
      </w:tr>
      <w:tr>
        <w:trPr/>
        <w:tc>
          <w:tcPr>
            <w:tcW w:w="41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39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zderzenie pojazdów boczne</w:t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51</w:t>
            </w:r>
          </w:p>
        </w:tc>
        <w:tc>
          <w:tcPr>
            <w:tcW w:w="11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292</w:t>
            </w:r>
          </w:p>
        </w:tc>
      </w:tr>
      <w:tr>
        <w:trPr/>
        <w:tc>
          <w:tcPr>
            <w:tcW w:w="41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39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najechanie na słup, znak</w:t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1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268</w:t>
            </w:r>
          </w:p>
        </w:tc>
      </w:tr>
      <w:tr>
        <w:trPr/>
        <w:tc>
          <w:tcPr>
            <w:tcW w:w="41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39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najechanie na barierę ochronną</w:t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257</w:t>
            </w:r>
          </w:p>
        </w:tc>
      </w:tr>
      <w:tr>
        <w:trPr/>
        <w:tc>
          <w:tcPr>
            <w:tcW w:w="41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39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najechanie na pieszego</w:t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1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1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39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najechanie na unieruchomiony pojazd</w:t>
            </w:r>
          </w:p>
        </w:tc>
        <w:tc>
          <w:tcPr>
            <w:tcW w:w="123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16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1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RODZAJE POJAZDÓW, KTÓRYCH KIERUJĄCY BYLI SPRAWCAMI ZDARZEŃ DROGOWYCH SPOWODOWANYCH „PRĘDKOŚCIĄ”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Niektóre rodzaje pojazdów, których kierujący spowodowali zdarzenia drogowe, gdzie główną przyczyną było niedostosowanie prędkości jazdy: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tbl>
      <w:tblPr>
        <w:tblStyle w:val="Tabela-Siatka"/>
        <w:tblW w:w="907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2651"/>
        <w:gridCol w:w="1234"/>
        <w:gridCol w:w="1163"/>
        <w:gridCol w:w="1162"/>
        <w:gridCol w:w="1163"/>
      </w:tblGrid>
      <w:tr>
        <w:trPr/>
        <w:tc>
          <w:tcPr>
            <w:tcW w:w="434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Wypadki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Zabici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Ranni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Kolizje</w:t>
            </w:r>
          </w:p>
        </w:tc>
      </w:tr>
      <w:tr>
        <w:trPr/>
        <w:tc>
          <w:tcPr>
            <w:tcW w:w="1696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RODZAJ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POJAZDU SPRAWCY</w:t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samochód osobowy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351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55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470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4375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motocykl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motorower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samochód  ciężarowy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46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547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WIEK SPRAWCÓW ZDARZEŃ DROGOWYCH SPOWODOWANYCH „PRĘDKOŚCIĄ”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Najliczniejszą grupą wiekową sprawców zdarzeń drogowych, gdzie główną przyczyną było niedostosowanie prędkości jazdy są osoby młode, </w:t>
        <w:br/>
        <w:t>w wieku 18-35 lat: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tbl>
      <w:tblPr>
        <w:tblStyle w:val="Tabela-Siatka"/>
        <w:tblW w:w="907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2651"/>
        <w:gridCol w:w="1234"/>
        <w:gridCol w:w="1163"/>
        <w:gridCol w:w="1162"/>
        <w:gridCol w:w="1163"/>
      </w:tblGrid>
      <w:tr>
        <w:trPr/>
        <w:tc>
          <w:tcPr>
            <w:tcW w:w="434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Wypadki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Zabici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Ranni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Kolizje</w:t>
            </w:r>
          </w:p>
        </w:tc>
      </w:tr>
      <w:tr>
        <w:trPr/>
        <w:tc>
          <w:tcPr>
            <w:tcW w:w="1696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WIEK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SPRAWCY</w:t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35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54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219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37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248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201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229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187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199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139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42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149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165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156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157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141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32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150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139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34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133</w:t>
            </w:r>
          </w:p>
        </w:tc>
      </w:tr>
      <w:tr>
        <w:trPr/>
        <w:tc>
          <w:tcPr>
            <w:tcW w:w="169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65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 lat</w:t>
            </w:r>
          </w:p>
        </w:tc>
        <w:tc>
          <w:tcPr>
            <w:tcW w:w="12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SZYBCIEJ ZAWSZE OZNACZA NIEBEZPIECZNIEJ !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Powyżej przytoczone zostały dane statystyczne zdarzeń drogowych, gdzie główną przyczyną była „prędkość”. Z całą pewnością „prędkość” miała swój niekorzystny udział w większości zdarzeń drogowych zaistniałych na terenie Wielkopolski. 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Większa prędkość jazdy to: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gorsza obserwacja drogi,</w:t>
      </w:r>
    </w:p>
    <w:p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zawężenie pola widzenia,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zbyt późne zauważenie przeszkody (stojącego pojazdy, pieszego, wyrwy w nawierzchni drogi, itp.),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mniej czasu na reakcję,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podejmowanie szybko niewłaściwych decyzji o wykonaniu manewrów, np. wyprzedzania, skrętu, itp.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wydłużenie drogi hamowania i drogi zatrzymania,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329565</wp:posOffset>
            </wp:positionH>
            <wp:positionV relativeFrom="paragraph">
              <wp:posOffset>132080</wp:posOffset>
            </wp:positionV>
            <wp:extent cx="4572635" cy="3429635"/>
            <wp:effectExtent l="0" t="0" r="0" b="0"/>
            <wp:wrapNone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Bookman Old Style" w:hAnsi="Bookman Old Style"/>
          <w:sz w:val="24"/>
          <w:szCs w:val="24"/>
        </w:rP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328930</wp:posOffset>
            </wp:positionH>
            <wp:positionV relativeFrom="paragraph">
              <wp:posOffset>83185</wp:posOffset>
            </wp:positionV>
            <wp:extent cx="4572635" cy="3429635"/>
            <wp:effectExtent l="0" t="0" r="0" b="0"/>
            <wp:wrapNone/>
            <wp:docPr id="3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ROZPĘDZIĆ JEST ŁATWO – ZATRZYMAĆ JUŻ NIE.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/>
        <w:drawing>
          <wp:anchor behindDoc="1" distT="0" distB="9525" distL="114300" distR="114300" simplePos="0" locked="0" layoutInCell="1" allowOverlap="1" relativeHeight="4">
            <wp:simplePos x="0" y="0"/>
            <wp:positionH relativeFrom="column">
              <wp:posOffset>52705</wp:posOffset>
            </wp:positionH>
            <wp:positionV relativeFrom="paragraph">
              <wp:posOffset>417830</wp:posOffset>
            </wp:positionV>
            <wp:extent cx="5760720" cy="3839210"/>
            <wp:effectExtent l="0" t="0" r="0" b="0"/>
            <wp:wrapNone/>
            <wp:docPr id="4" name="Obraz 5" descr="F:\droga-ham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F:\droga-hamowan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295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95caa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ascii="Bookman Old Style" w:hAnsi="Bookman Old Style" w:cs="Wingdings"/>
      <w:b/>
      <w:sz w:val="24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ascii="Bookman Old Style" w:hAnsi="Bookman Old Style" w:cs="Symbol"/>
      <w:sz w:val="24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Bookman Old Style" w:hAnsi="Bookman Old Style" w:cs="Calibri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Bookman Old Style" w:hAnsi="Bookman Old Style" w:cs="Symbol"/>
      <w:sz w:val="24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d15a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95c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2324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plotArea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Wypadki</c:v>
                </c:pt>
              </c:strCache>
            </c:strRef>
          </c:tx>
          <c:spPr>
            <a:solidFill>
              <a:srgbClr val="004586"/>
            </a:solidFill>
            <a:ln w="28800">
              <a:solidFill>
                <a:srgbClr val="004586"/>
              </a:solidFill>
              <a:round/>
            </a:ln>
          </c:spPr>
          <c:marker>
            <c:symbol val="square"/>
            <c:size val="8"/>
            <c:spPr>
              <a:solidFill>
                <a:srgbClr val="004586"/>
              </a:solidFill>
            </c:spPr>
          </c:marker>
          <c:dLbls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2634</c:v>
                </c:pt>
                <c:pt idx="1">
                  <c:v>2394</c:v>
                </c:pt>
                <c:pt idx="2">
                  <c:v>2194</c:v>
                </c:pt>
                <c:pt idx="3">
                  <c:v>2304</c:v>
                </c:pt>
                <c:pt idx="4">
                  <c:v>3122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Zabici</c:v>
                </c:pt>
              </c:strCache>
            </c:strRef>
          </c:tx>
          <c:spPr>
            <a:solidFill>
              <a:srgbClr val="ff420e"/>
            </a:solidFill>
            <a:ln w="28800">
              <a:solidFill>
                <a:srgbClr val="ff420e"/>
              </a:solidFill>
              <a:round/>
            </a:ln>
          </c:spPr>
          <c:marker>
            <c:symbol val="diamond"/>
            <c:size val="8"/>
            <c:spPr>
              <a:solidFill>
                <a:srgbClr val="ff420e"/>
              </a:solidFill>
            </c:spPr>
          </c:marker>
          <c:dLbls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289</c:v>
                </c:pt>
                <c:pt idx="1">
                  <c:v>268</c:v>
                </c:pt>
                <c:pt idx="2">
                  <c:v>245</c:v>
                </c:pt>
                <c:pt idx="3">
                  <c:v>249</c:v>
                </c:pt>
                <c:pt idx="4">
                  <c:v>294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Ranni</c:v>
                </c:pt>
              </c:strCache>
            </c:strRef>
          </c:tx>
          <c:spPr>
            <a:solidFill>
              <a:srgbClr val="ffd320"/>
            </a:solidFill>
            <a:ln w="28800">
              <a:solidFill>
                <a:srgbClr val="ffd320"/>
              </a:solidFill>
              <a:round/>
            </a:ln>
          </c:spPr>
          <c:marker>
            <c:symbol val="triangle"/>
            <c:size val="8"/>
            <c:spPr>
              <a:solidFill>
                <a:srgbClr val="ffd320"/>
              </a:solidFill>
            </c:spPr>
          </c:marker>
          <c:dLbls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3127</c:v>
                </c:pt>
                <c:pt idx="1">
                  <c:v>2814</c:v>
                </c:pt>
                <c:pt idx="2">
                  <c:v>2520</c:v>
                </c:pt>
                <c:pt idx="3">
                  <c:v>2669</c:v>
                </c:pt>
                <c:pt idx="4">
                  <c:v>3594</c:v>
                </c:pt>
              </c:numCache>
            </c:numRef>
          </c:val>
          <c:smooth val="0"/>
        </c:ser>
        <c:hiLowLines>
          <c:spPr>
            <a:ln>
              <a:noFill/>
            </a:ln>
          </c:spPr>
        </c:hiLowLines>
        <c:marker val="1"/>
        <c:axId val="34635370"/>
        <c:axId val="78966299"/>
      </c:lineChart>
      <c:catAx>
        <c:axId val="34635370"/>
        <c:scaling>
          <c:orientation val="minMax"/>
        </c:scaling>
        <c:delete val="0"/>
        <c:axPos val="b"/>
        <c:numFmt formatCode="D/MM/YYYY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</a:p>
        </c:txPr>
        <c:crossAx val="78966299"/>
        <c:crosses val="autoZero"/>
        <c:auto val="1"/>
        <c:lblAlgn val="ctr"/>
        <c:lblOffset val="100"/>
      </c:catAx>
      <c:valAx>
        <c:axId val="78966299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</a:p>
        </c:txPr>
        <c:crossAx val="34635370"/>
        <c:crosses val="autoZero"/>
        <c:crossBetween val="midCat"/>
      </c:valAx>
      <c:spPr>
        <a:noFill/>
        <a:ln>
          <a:solidFill>
            <a:srgbClr val="b3b3b3"/>
          </a:solidFill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noFill/>
    <a:ln>
      <a:noFill/>
    </a:ln>
  </c:spPr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LibreOffice/5.3.0.3$Windows_x86 LibreOffice_project/7074905676c47b82bbcfbea1aeefc84afe1c50e1</Application>
  <Pages>4</Pages>
  <Words>484</Words>
  <Characters>2524</Characters>
  <CharactersWithSpaces>2821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2017-03-02T08:04:00Z</dcterms:created>
  <dc:creator>Maciej Bednik</dc:creator>
  <dc:description/>
  <dc:language>pl-PL</dc:language>
  <cp:lastModifiedBy/>
  <cp:lastPrinted>2017-03-02T11:04:00Z</cp:lastPrinted>
  <dcterms:modified xsi:type="dcterms:W3CDTF">2018-05-17T08:46:13Z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